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AC11D" w14:textId="34880683" w:rsidR="008F3F03" w:rsidRDefault="000172A3">
      <w:pPr>
        <w:pStyle w:val="BodyText"/>
        <w:jc w:val="center"/>
      </w:pPr>
      <w:r>
        <w:t xml:space="preserve">CMP Pad Conditioning and Applications to </w:t>
      </w:r>
      <w:r>
        <w:br/>
        <w:t>Compound Semiconductor Wafer Processing</w:t>
      </w:r>
    </w:p>
    <w:p w14:paraId="37AF5E36" w14:textId="77777777" w:rsidR="008F3F03" w:rsidRDefault="008F3F03">
      <w:pPr>
        <w:jc w:val="center"/>
        <w:rPr>
          <w:b/>
          <w:sz w:val="28"/>
        </w:rPr>
      </w:pPr>
    </w:p>
    <w:p w14:paraId="33F589EE" w14:textId="73895575" w:rsidR="00CC72AF" w:rsidRDefault="000172A3" w:rsidP="00CC72AF">
      <w:pPr>
        <w:pStyle w:val="Heading1"/>
        <w:jc w:val="center"/>
      </w:pPr>
      <w:r>
        <w:t>A.S. Lawing</w:t>
      </w:r>
      <w:r w:rsidRPr="000172A3">
        <w:rPr>
          <w:vertAlign w:val="superscript"/>
        </w:rPr>
        <w:t>1</w:t>
      </w:r>
      <w:r>
        <w:t>, W. Gemmill</w:t>
      </w:r>
      <w:r w:rsidRPr="000172A3">
        <w:rPr>
          <w:vertAlign w:val="superscript"/>
        </w:rPr>
        <w:t>2</w:t>
      </w:r>
      <w:r>
        <w:t xml:space="preserve"> and T.M. Knight</w:t>
      </w:r>
      <w:r w:rsidRPr="000172A3">
        <w:rPr>
          <w:vertAlign w:val="superscript"/>
        </w:rPr>
        <w:t>2</w:t>
      </w:r>
    </w:p>
    <w:p w14:paraId="5F29A599" w14:textId="77777777" w:rsidR="008F3F03" w:rsidRDefault="008F3F03">
      <w:pPr>
        <w:jc w:val="center"/>
        <w:rPr>
          <w:sz w:val="24"/>
        </w:rPr>
      </w:pPr>
    </w:p>
    <w:p w14:paraId="41428F4F" w14:textId="16B61D1E" w:rsidR="00C640DA" w:rsidRDefault="00CC72AF">
      <w:pPr>
        <w:jc w:val="center"/>
        <w:rPr>
          <w:color w:val="000000" w:themeColor="text1"/>
        </w:rPr>
      </w:pPr>
      <w:r w:rsidRPr="00CC72AF">
        <w:rPr>
          <w:color w:val="000000" w:themeColor="text1"/>
          <w:vertAlign w:val="superscript"/>
        </w:rPr>
        <w:t>1</w:t>
      </w:r>
      <w:r w:rsidR="00C640DA">
        <w:rPr>
          <w:color w:val="000000" w:themeColor="text1"/>
        </w:rPr>
        <w:t xml:space="preserve">Kinik North America, 416 </w:t>
      </w:r>
      <w:proofErr w:type="spellStart"/>
      <w:r w:rsidR="00C640DA">
        <w:rPr>
          <w:color w:val="000000" w:themeColor="text1"/>
        </w:rPr>
        <w:t>Papermill</w:t>
      </w:r>
      <w:proofErr w:type="spellEnd"/>
      <w:r w:rsidR="00C640DA">
        <w:rPr>
          <w:color w:val="000000" w:themeColor="text1"/>
        </w:rPr>
        <w:t xml:space="preserve"> Road, Newark, DE 19711, </w:t>
      </w:r>
      <w:hyperlink r:id="rId9" w:history="1">
        <w:r w:rsidR="00C640DA" w:rsidRPr="00241ED7">
          <w:rPr>
            <w:rStyle w:val="Hyperlink"/>
          </w:rPr>
          <w:t>slawing@kinikna.com</w:t>
        </w:r>
      </w:hyperlink>
      <w:r w:rsidR="00C640DA">
        <w:rPr>
          <w:color w:val="000000" w:themeColor="text1"/>
        </w:rPr>
        <w:t>, (302) 533-7548</w:t>
      </w:r>
    </w:p>
    <w:p w14:paraId="5BCA4F22" w14:textId="59EE91C8" w:rsidR="008F3F03" w:rsidRDefault="00CC72AF" w:rsidP="008E1AAB">
      <w:pPr>
        <w:jc w:val="center"/>
        <w:rPr>
          <w:color w:val="000000" w:themeColor="text1"/>
        </w:rPr>
      </w:pPr>
      <w:r w:rsidRPr="00CC72AF">
        <w:rPr>
          <w:color w:val="000000" w:themeColor="text1"/>
          <w:vertAlign w:val="superscript"/>
        </w:rPr>
        <w:t>2</w:t>
      </w:r>
      <w:r w:rsidR="00C640DA" w:rsidRPr="00C640DA">
        <w:t xml:space="preserve"> </w:t>
      </w:r>
      <w:proofErr w:type="spellStart"/>
      <w:r w:rsidR="00C640DA" w:rsidRPr="00C640DA">
        <w:rPr>
          <w:color w:val="000000" w:themeColor="text1"/>
        </w:rPr>
        <w:t>Eminess</w:t>
      </w:r>
      <w:proofErr w:type="spellEnd"/>
      <w:r w:rsidR="00C640DA" w:rsidRPr="00C640DA">
        <w:rPr>
          <w:color w:val="000000" w:themeColor="text1"/>
        </w:rPr>
        <w:t xml:space="preserve"> Technologies</w:t>
      </w:r>
      <w:r w:rsidR="00C640DA">
        <w:rPr>
          <w:color w:val="000000" w:themeColor="text1"/>
        </w:rPr>
        <w:t xml:space="preserve">, </w:t>
      </w:r>
      <w:r w:rsidR="00C640DA" w:rsidRPr="00C640DA">
        <w:rPr>
          <w:color w:val="000000" w:themeColor="text1"/>
        </w:rPr>
        <w:t>7272 E. Indian School Road</w:t>
      </w:r>
      <w:r w:rsidR="00C640DA">
        <w:rPr>
          <w:color w:val="000000" w:themeColor="text1"/>
        </w:rPr>
        <w:t xml:space="preserve">, </w:t>
      </w:r>
      <w:r w:rsidR="00FF21B5">
        <w:rPr>
          <w:color w:val="000000" w:themeColor="text1"/>
        </w:rPr>
        <w:t>Scottsdale, AZ 8525</w:t>
      </w:r>
      <w:r w:rsidR="008E1AAB">
        <w:rPr>
          <w:color w:val="000000" w:themeColor="text1"/>
        </w:rPr>
        <w:t>1</w:t>
      </w:r>
    </w:p>
    <w:p w14:paraId="2C903370" w14:textId="77777777" w:rsidR="00C640DA" w:rsidRDefault="00C640DA" w:rsidP="00C640DA">
      <w:pPr>
        <w:jc w:val="center"/>
      </w:pPr>
    </w:p>
    <w:p w14:paraId="7B4AB05A" w14:textId="7CEA7E28" w:rsidR="008F3F03" w:rsidRDefault="008F3F03">
      <w:pPr>
        <w:pStyle w:val="Heading2"/>
        <w:tabs>
          <w:tab w:val="left" w:pos="270"/>
        </w:tabs>
        <w:rPr>
          <w:b/>
          <w:smallCaps w:val="0"/>
        </w:rPr>
      </w:pPr>
      <w:r>
        <w:rPr>
          <w:b/>
          <w:smallCaps w:val="0"/>
        </w:rPr>
        <w:t xml:space="preserve">Keywords: </w:t>
      </w:r>
      <w:r w:rsidR="00FF21B5">
        <w:rPr>
          <w:b/>
          <w:smallCaps w:val="0"/>
        </w:rPr>
        <w:t xml:space="preserve">CMP, pad conditioning, </w:t>
      </w:r>
      <w:proofErr w:type="spellStart"/>
      <w:proofErr w:type="gramStart"/>
      <w:r w:rsidR="00FF21B5">
        <w:rPr>
          <w:b/>
          <w:smallCaps w:val="0"/>
        </w:rPr>
        <w:t>SiC</w:t>
      </w:r>
      <w:proofErr w:type="spellEnd"/>
      <w:proofErr w:type="gramEnd"/>
      <w:r w:rsidR="00FF21B5">
        <w:rPr>
          <w:b/>
          <w:smallCaps w:val="0"/>
        </w:rPr>
        <w:t xml:space="preserve"> polishing</w:t>
      </w:r>
    </w:p>
    <w:p w14:paraId="7B5C6733" w14:textId="77777777" w:rsidR="008F3F03" w:rsidRDefault="008F3F03"/>
    <w:p w14:paraId="22F00F22" w14:textId="77777777" w:rsidR="008F3F03" w:rsidRDefault="008F3F03">
      <w:pPr>
        <w:pStyle w:val="CommentText"/>
        <w:sectPr w:rsidR="008F3F03">
          <w:headerReference w:type="even" r:id="rId10"/>
          <w:headerReference w:type="default" r:id="rId11"/>
          <w:footerReference w:type="even" r:id="rId12"/>
          <w:footerReference w:type="default" r:id="rId13"/>
          <w:headerReference w:type="first" r:id="rId14"/>
          <w:footerReference w:type="first" r:id="rId15"/>
          <w:pgSz w:w="12240" w:h="15840" w:code="1"/>
          <w:pgMar w:top="1440" w:right="1008" w:bottom="1440" w:left="1008" w:header="720" w:footer="720" w:gutter="0"/>
          <w:paperSrc w:first="1" w:other="1"/>
          <w:cols w:space="720"/>
        </w:sectPr>
      </w:pPr>
    </w:p>
    <w:p w14:paraId="6E814BB6" w14:textId="0E7F167F" w:rsidR="008F3F03" w:rsidRDefault="008F3F03">
      <w:pPr>
        <w:pStyle w:val="Heading2"/>
        <w:tabs>
          <w:tab w:val="left" w:pos="270"/>
        </w:tabs>
        <w:rPr>
          <w:b/>
          <w:smallCaps w:val="0"/>
        </w:rPr>
      </w:pPr>
      <w:r>
        <w:rPr>
          <w:b/>
          <w:smallCaps w:val="0"/>
        </w:rPr>
        <w:lastRenderedPageBreak/>
        <w:t>Abstract</w:t>
      </w:r>
    </w:p>
    <w:p w14:paraId="71428671" w14:textId="2227AFD0" w:rsidR="008F3F03" w:rsidRDefault="007A21F4">
      <w:pPr>
        <w:pStyle w:val="BodyText2"/>
        <w:tabs>
          <w:tab w:val="left" w:pos="270"/>
        </w:tabs>
        <w:rPr>
          <w:b/>
        </w:rPr>
      </w:pPr>
      <w:r>
        <w:rPr>
          <w:b/>
        </w:rPr>
        <w:tab/>
      </w:r>
      <w:r w:rsidR="007F48FC">
        <w:rPr>
          <w:b/>
        </w:rPr>
        <w:t>Pad conditioning is critical to maintaining the required process stability and performance in semiconductor CMP</w:t>
      </w:r>
      <w:r w:rsidR="008F3F03">
        <w:rPr>
          <w:b/>
        </w:rPr>
        <w:t>.</w:t>
      </w:r>
      <w:r w:rsidR="007F48FC">
        <w:rPr>
          <w:b/>
        </w:rPr>
        <w:t xml:space="preserve"> As the process and performance requirements for substrate polishing in the compound semiconductor industry become more stringent, we believe there are significant opportunities for improvement via more extensive adoption of optimized pad conditioning protocols. In this paper we will review the pertinent state of the art in semiconductor CMP and propose some specific target areas for adoption in compound semiconductor substrate polishing.</w:t>
      </w:r>
    </w:p>
    <w:p w14:paraId="202C8AAC" w14:textId="77777777" w:rsidR="008F3F03" w:rsidRDefault="008F3F03">
      <w:pPr>
        <w:pStyle w:val="BodyText2"/>
        <w:rPr>
          <w:b/>
        </w:rPr>
      </w:pPr>
    </w:p>
    <w:p w14:paraId="67D0B86E" w14:textId="5B73BE61" w:rsidR="008F3F03" w:rsidRDefault="008F3F03">
      <w:pPr>
        <w:pStyle w:val="Heading2"/>
      </w:pPr>
      <w:r>
        <w:t>Introduction</w:t>
      </w:r>
    </w:p>
    <w:p w14:paraId="4D404CE5" w14:textId="77777777" w:rsidR="008F3F03" w:rsidRDefault="008F3F03"/>
    <w:p w14:paraId="36D2CD7A" w14:textId="1A4C94A8" w:rsidR="008F3F03" w:rsidRDefault="008F3F03">
      <w:pPr>
        <w:pStyle w:val="BodyText2"/>
        <w:tabs>
          <w:tab w:val="left" w:pos="270"/>
        </w:tabs>
      </w:pPr>
      <w:r>
        <w:tab/>
      </w:r>
      <w:r w:rsidR="00E05951">
        <w:t xml:space="preserve">As the application of CMP </w:t>
      </w:r>
      <w:r w:rsidR="000B2E9C">
        <w:t>in semiconductor device manufacturing has proliferated and become more advanced, the demands on pad conditioning have increased</w:t>
      </w:r>
      <w:r>
        <w:t>.</w:t>
      </w:r>
      <w:r w:rsidR="000B2E9C">
        <w:t xml:space="preserve"> Pad conditioning is the process of “dressing” the surface of the polishing pad, generally with a highly engineered </w:t>
      </w:r>
      <w:r w:rsidR="00CE56C4">
        <w:t xml:space="preserve">diamond </w:t>
      </w:r>
      <w:r w:rsidR="000B2E9C">
        <w:t xml:space="preserve">abrasive </w:t>
      </w:r>
      <w:r w:rsidR="00401E81">
        <w:t xml:space="preserve">disc. Conditioning not only refreshes the pad surface by removing debris and worn pad surface asperities, but the interaction of the cutting characteristics of the conditioner with the intrinsic structure of the pad determines the structure of the asperities that are </w:t>
      </w:r>
      <w:r w:rsidR="00EA5FFE">
        <w:t xml:space="preserve">in </w:t>
      </w:r>
      <w:r w:rsidR="00401E81">
        <w:t>contact with the wafer</w:t>
      </w:r>
      <w:r w:rsidR="0027264E">
        <w:t>[1,2]</w:t>
      </w:r>
      <w:r w:rsidR="00401E81">
        <w:t xml:space="preserve">. So pad conditioning not only imparts stability, but determines the nature of the contact points at which material removal takes place. By tuning the cutting characteristics of the conditioner, polish performance can be manipulated over a wide range; toggling polish rates, planarization performance and </w:t>
      </w:r>
      <w:proofErr w:type="spellStart"/>
      <w:r w:rsidR="00401E81">
        <w:t>defectivity</w:t>
      </w:r>
      <w:proofErr w:type="spellEnd"/>
      <w:r w:rsidR="00401E81">
        <w:t xml:space="preserve">, for instance, simply by changing the way a pad is conditioned. With the most advanced pads, specific conditioning protocols are typically required to obtain the designed </w:t>
      </w:r>
      <w:proofErr w:type="gramStart"/>
      <w:r w:rsidR="00401E81">
        <w:t>performance</w:t>
      </w:r>
      <w:r w:rsidR="0027264E">
        <w:t>[</w:t>
      </w:r>
      <w:proofErr w:type="gramEnd"/>
      <w:r w:rsidR="0027264E">
        <w:t>3]</w:t>
      </w:r>
      <w:r w:rsidR="00401E81">
        <w:t xml:space="preserve">. In addition to the </w:t>
      </w:r>
      <w:r w:rsidR="006949C7">
        <w:t xml:space="preserve">relatively well established understanding surrounding “hard” pads, </w:t>
      </w:r>
      <w:r w:rsidR="00401E81">
        <w:t>more advanced conditioning protocols are being implemented on “soft” pads</w:t>
      </w:r>
      <w:r w:rsidR="006949C7">
        <w:t xml:space="preserve"> as the process</w:t>
      </w:r>
      <w:r w:rsidR="00220FC6">
        <w:t>es</w:t>
      </w:r>
      <w:r w:rsidR="006949C7">
        <w:t xml:space="preserve"> these pads are applied to become more critical.</w:t>
      </w:r>
    </w:p>
    <w:p w14:paraId="7C6510CC" w14:textId="77777777" w:rsidR="007002C9" w:rsidRDefault="006949C7">
      <w:pPr>
        <w:pStyle w:val="BodyText2"/>
        <w:tabs>
          <w:tab w:val="left" w:pos="270"/>
        </w:tabs>
      </w:pPr>
      <w:r>
        <w:tab/>
      </w:r>
    </w:p>
    <w:p w14:paraId="76FBA91A" w14:textId="27416593" w:rsidR="006949C7" w:rsidRDefault="007002C9">
      <w:pPr>
        <w:pStyle w:val="BodyText2"/>
        <w:tabs>
          <w:tab w:val="left" w:pos="270"/>
        </w:tabs>
      </w:pPr>
      <w:r>
        <w:tab/>
      </w:r>
      <w:r w:rsidR="006949C7">
        <w:t>This adoption of more advanced protocols for the soft pads in semiconductor CMP is analogous to the opportunities, and eventually probably requirements, for improvement that we envision in compound semiconductor substrate polishing</w:t>
      </w:r>
      <w:r w:rsidR="00CE6C91">
        <w:t xml:space="preserve">. In addition to outlining some applicable </w:t>
      </w:r>
      <w:r w:rsidR="00CE6C91">
        <w:lastRenderedPageBreak/>
        <w:t>background from semiconductor CMP, we will identify two specific process areas where the models developed for semiconductor CMP are directly applicable to compound semiconductor substrate polishing.</w:t>
      </w:r>
    </w:p>
    <w:p w14:paraId="50218475" w14:textId="77777777" w:rsidR="008F3F03" w:rsidRDefault="008F3F03">
      <w:pPr>
        <w:pStyle w:val="Heading3"/>
        <w:tabs>
          <w:tab w:val="left" w:pos="270"/>
          <w:tab w:val="left" w:pos="450"/>
        </w:tabs>
        <w:rPr>
          <w:i w:val="0"/>
        </w:rPr>
      </w:pPr>
    </w:p>
    <w:p w14:paraId="30E34CC1" w14:textId="31BD73DA" w:rsidR="008F3F03" w:rsidRDefault="00D03658">
      <w:pPr>
        <w:pStyle w:val="Heading2"/>
      </w:pPr>
      <w:r>
        <w:t>Background</w:t>
      </w:r>
    </w:p>
    <w:p w14:paraId="1B045032" w14:textId="77777777" w:rsidR="008F3F03" w:rsidRDefault="008F3F03">
      <w:pPr>
        <w:tabs>
          <w:tab w:val="left" w:pos="270"/>
        </w:tabs>
        <w:jc w:val="both"/>
      </w:pPr>
    </w:p>
    <w:p w14:paraId="69B276A7" w14:textId="0CD730D5" w:rsidR="00427DB4" w:rsidRDefault="008F3F03" w:rsidP="007A3918">
      <w:pPr>
        <w:tabs>
          <w:tab w:val="left" w:pos="270"/>
        </w:tabs>
        <w:jc w:val="both"/>
      </w:pPr>
      <w:r>
        <w:tab/>
      </w:r>
      <w:r w:rsidR="009E039D" w:rsidRPr="0082462F">
        <w:t xml:space="preserve"> </w:t>
      </w:r>
      <w:r w:rsidR="00427DB4">
        <w:t xml:space="preserve">Pad conditioning in semiconductor wafer CMP is at a technically mature stage, and the knowledge base can be directly applied to substrate polishing. For instance, the same pad types, and in some cases even the same pads, are used in both areas. Figure 1 illustrates the </w:t>
      </w:r>
      <w:r w:rsidR="004A08F5">
        <w:t>four</w:t>
      </w:r>
      <w:r w:rsidR="00427DB4">
        <w:t xml:space="preserve"> types of polishing pads used in both semiconductor CMP and substrate polishing. This classification system is after Cook [4] and James [5].</w:t>
      </w:r>
      <w:r w:rsidR="004A08F5">
        <w:t xml:space="preserve"> Type 1 pads consist </w:t>
      </w:r>
      <w:proofErr w:type="gramStart"/>
      <w:r w:rsidR="004A08F5">
        <w:t>of a “</w:t>
      </w:r>
      <w:proofErr w:type="gramEnd"/>
      <w:r w:rsidR="004A08F5">
        <w:t>non-woven” needle</w:t>
      </w:r>
      <w:r w:rsidR="00792ED1">
        <w:t>d</w:t>
      </w:r>
      <w:r w:rsidR="004A08F5">
        <w:t xml:space="preserve"> polyester felt impregnated with polyurethane</w:t>
      </w:r>
      <w:r w:rsidR="00836849">
        <w:t xml:space="preserve">. The pores in a Type 1 pad are formed from the spaces between the impregnated fibers </w:t>
      </w:r>
      <w:r w:rsidR="00792ED1">
        <w:t>and</w:t>
      </w:r>
      <w:r w:rsidR="00836849">
        <w:t xml:space="preserve"> ha</w:t>
      </w:r>
      <w:r w:rsidR="00792ED1">
        <w:t>ve</w:t>
      </w:r>
      <w:r w:rsidR="00836849">
        <w:t xml:space="preserve"> a length scale of 100s of microns.</w:t>
      </w:r>
      <w:r w:rsidR="00792ED1">
        <w:t xml:space="preserve"> The pores in a Type 1 pad tend to be interconnected.</w:t>
      </w:r>
      <w:r w:rsidR="00836849">
        <w:t xml:space="preserve"> Type </w:t>
      </w:r>
      <w:proofErr w:type="gramStart"/>
      <w:r w:rsidR="00836849">
        <w:t>2</w:t>
      </w:r>
      <w:r w:rsidR="00792ED1">
        <w:t>,</w:t>
      </w:r>
      <w:proofErr w:type="gramEnd"/>
      <w:r w:rsidR="00792ED1">
        <w:t xml:space="preserve"> or “</w:t>
      </w:r>
      <w:proofErr w:type="spellStart"/>
      <w:r w:rsidR="00792ED1">
        <w:t>poromeric</w:t>
      </w:r>
      <w:proofErr w:type="spellEnd"/>
      <w:r w:rsidR="00792ED1">
        <w:t>” (</w:t>
      </w:r>
      <w:r w:rsidR="00792ED1" w:rsidRPr="00792ED1">
        <w:rPr>
          <w:i/>
        </w:rPr>
        <w:t>por</w:t>
      </w:r>
      <w:r w:rsidR="00792ED1">
        <w:t xml:space="preserve">ous + </w:t>
      </w:r>
      <w:r w:rsidR="00AE4520">
        <w:br/>
      </w:r>
      <w:r w:rsidR="00AE4520">
        <w:br/>
      </w:r>
      <w:r w:rsidR="00AE4520">
        <w:rPr>
          <w:noProof/>
        </w:rPr>
        <mc:AlternateContent>
          <mc:Choice Requires="wps">
            <w:drawing>
              <wp:inline distT="0" distB="0" distL="0" distR="0" wp14:anchorId="2587209A" wp14:editId="4BFA77E8">
                <wp:extent cx="3096895" cy="3360420"/>
                <wp:effectExtent l="0" t="0" r="27305" b="1143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3360420"/>
                        </a:xfrm>
                        <a:prstGeom prst="rect">
                          <a:avLst/>
                        </a:prstGeom>
                        <a:solidFill>
                          <a:srgbClr val="FFFFFF"/>
                        </a:solidFill>
                        <a:ln w="9525">
                          <a:solidFill>
                            <a:srgbClr val="000000"/>
                          </a:solidFill>
                          <a:miter lim="800000"/>
                          <a:headEnd/>
                          <a:tailEnd/>
                        </a:ln>
                      </wps:spPr>
                      <wps:txbx>
                        <w:txbxContent>
                          <w:p w14:paraId="7C16EA2F" w14:textId="77777777" w:rsidR="00AE4520" w:rsidRDefault="00AE4520" w:rsidP="00AE4520">
                            <w:r w:rsidRPr="00EB7182">
                              <w:rPr>
                                <w:noProof/>
                              </w:rPr>
                              <w:drawing>
                                <wp:inline distT="0" distB="0" distL="0" distR="0" wp14:anchorId="5A930506" wp14:editId="553496A3">
                                  <wp:extent cx="2915077"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9" t="277" b="-2695"/>
                                          <a:stretch/>
                                        </pic:blipFill>
                                        <pic:spPr bwMode="auto">
                                          <a:xfrm>
                                            <a:off x="0" y="0"/>
                                            <a:ext cx="2918460" cy="2898961"/>
                                          </a:xfrm>
                                          <a:prstGeom prst="rect">
                                            <a:avLst/>
                                          </a:prstGeom>
                                          <a:noFill/>
                                          <a:ln>
                                            <a:noFill/>
                                          </a:ln>
                                          <a:extLst>
                                            <a:ext uri="{53640926-AAD7-44D8-BBD7-CCE9431645EC}">
                                              <a14:shadowObscured xmlns:a14="http://schemas.microsoft.com/office/drawing/2010/main"/>
                                            </a:ext>
                                          </a:extLst>
                                        </pic:spPr>
                                      </pic:pic>
                                    </a:graphicData>
                                  </a:graphic>
                                </wp:inline>
                              </w:drawing>
                            </w:r>
                          </w:p>
                          <w:p w14:paraId="162312C0" w14:textId="6134612F" w:rsidR="00AE4520" w:rsidRDefault="00BC2B5E" w:rsidP="00AE4520">
                            <w:proofErr w:type="gramStart"/>
                            <w:r>
                              <w:t>Fig. 1.</w:t>
                            </w:r>
                            <w:proofErr w:type="gramEnd"/>
                            <w:r>
                              <w:t xml:space="preserve">  SEM micrograph cross-sections</w:t>
                            </w:r>
                            <w:bookmarkStart w:id="0" w:name="_GoBack"/>
                            <w:bookmarkEnd w:id="0"/>
                            <w:r w:rsidR="00AE4520">
                              <w:t xml:space="preserve"> of a) Type 1, b) Type 2, c) Type 3 and d) Type 4[5] pads.</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43.85pt;height:2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">
                <v:textbox>
                  <w:txbxContent>
                    <w:p w14:paraId="7C16EA2F" w14:textId="77777777" w:rsidR="00AE4520" w:rsidRDefault="00AE4520" w:rsidP="00AE4520">
                      <w:r w:rsidRPr="00EB7182">
                        <w:rPr>
                          <w:noProof/>
                        </w:rPr>
                        <w:drawing>
                          <wp:inline distT="0" distB="0" distL="0" distR="0" wp14:anchorId="5A930506" wp14:editId="553496A3">
                            <wp:extent cx="2915077"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9" t="277" b="-2695"/>
                                    <a:stretch/>
                                  </pic:blipFill>
                                  <pic:spPr bwMode="auto">
                                    <a:xfrm>
                                      <a:off x="0" y="0"/>
                                      <a:ext cx="2918460" cy="2898961"/>
                                    </a:xfrm>
                                    <a:prstGeom prst="rect">
                                      <a:avLst/>
                                    </a:prstGeom>
                                    <a:noFill/>
                                    <a:ln>
                                      <a:noFill/>
                                    </a:ln>
                                    <a:extLst>
                                      <a:ext uri="{53640926-AAD7-44D8-BBD7-CCE9431645EC}">
                                        <a14:shadowObscured xmlns:a14="http://schemas.microsoft.com/office/drawing/2010/main"/>
                                      </a:ext>
                                    </a:extLst>
                                  </pic:spPr>
                                </pic:pic>
                              </a:graphicData>
                            </a:graphic>
                          </wp:inline>
                        </w:drawing>
                      </w:r>
                    </w:p>
                    <w:p w14:paraId="162312C0" w14:textId="6134612F" w:rsidR="00AE4520" w:rsidRDefault="00BC2B5E" w:rsidP="00AE4520">
                      <w:proofErr w:type="gramStart"/>
                      <w:r>
                        <w:t>Fig. 1.</w:t>
                      </w:r>
                      <w:proofErr w:type="gramEnd"/>
                      <w:r>
                        <w:t xml:space="preserve">  SEM micrograph cross-sections</w:t>
                      </w:r>
                      <w:bookmarkStart w:id="1" w:name="_GoBack"/>
                      <w:bookmarkEnd w:id="1"/>
                      <w:r w:rsidR="00AE4520">
                        <w:t xml:space="preserve"> of a) Type 1, b) Type 2, c) Type 3 and d) Type 4[5] pads.</w:t>
                      </w:r>
                    </w:p>
                  </w:txbxContent>
                </v:textbox>
                <w10:anchorlock/>
              </v:shape>
            </w:pict>
          </mc:Fallback>
        </mc:AlternateContent>
      </w:r>
      <w:r w:rsidR="00AE4520">
        <w:lastRenderedPageBreak/>
        <w:t>p</w:t>
      </w:r>
      <w:r w:rsidR="00792ED1">
        <w:t>oly</w:t>
      </w:r>
      <w:r w:rsidR="00792ED1" w:rsidRPr="00792ED1">
        <w:rPr>
          <w:i/>
        </w:rPr>
        <w:t>meric</w:t>
      </w:r>
      <w:r w:rsidR="00792ED1">
        <w:t>)</w:t>
      </w:r>
      <w:r w:rsidR="00836849">
        <w:t xml:space="preserve"> pads consist of </w:t>
      </w:r>
      <w:r w:rsidR="00792ED1">
        <w:t xml:space="preserve">a porous, coagulated </w:t>
      </w:r>
      <w:r w:rsidR="00EB7182">
        <w:br/>
      </w:r>
      <w:r w:rsidR="00792ED1">
        <w:t>polyurethane film deposited on a substrate. The substrate may be a carrier film, or in some cases a Type 1 pad. The pore structure of a Type 2 pad is complex and tends to be thickness dep</w:t>
      </w:r>
      <w:r w:rsidR="00CE56C4">
        <w:t>endent. Type 2 pads have a back</w:t>
      </w:r>
      <w:r w:rsidR="00792ED1">
        <w:t xml:space="preserve">bone consisting of microporous polyurethane (with </w:t>
      </w:r>
      <w:proofErr w:type="gramStart"/>
      <w:r w:rsidR="00792ED1">
        <w:t>a porosity</w:t>
      </w:r>
      <w:proofErr w:type="gramEnd"/>
      <w:r w:rsidR="00792ED1">
        <w:t xml:space="preserve"> on the order of a few microns) and large macro pores with length scales on the order of 10s to </w:t>
      </w:r>
      <w:r w:rsidR="005A1300">
        <w:t xml:space="preserve">a few </w:t>
      </w:r>
      <w:r w:rsidR="00792ED1">
        <w:t>100s of microns.</w:t>
      </w:r>
      <w:r w:rsidR="005A1300">
        <w:t xml:space="preserve"> Type 2 pads have a vertically oriented </w:t>
      </w:r>
      <w:proofErr w:type="spellStart"/>
      <w:r w:rsidR="005A1300">
        <w:t>macropor</w:t>
      </w:r>
      <w:r w:rsidR="00EB478F">
        <w:t>e</w:t>
      </w:r>
      <w:proofErr w:type="spellEnd"/>
      <w:r w:rsidR="005A1300">
        <w:t xml:space="preserve"> structure, with pore shapes that can range from nearly circular to columnar. Type 2 pads tend to have smaller pores at the surface and larger pores at the base, but can exhibit a wide range of </w:t>
      </w:r>
      <w:proofErr w:type="spellStart"/>
      <w:r w:rsidR="005A1300">
        <w:t>morpoholgies</w:t>
      </w:r>
      <w:proofErr w:type="spellEnd"/>
      <w:r w:rsidR="005A1300">
        <w:t xml:space="preserve"> with varying degrees of consistency. The trend in semiconductor CMP is towards Type 2 pads with a relatively consistent and well controlled near surface layer</w:t>
      </w:r>
      <w:r w:rsidR="009268C9">
        <w:t xml:space="preserve"> of smaller pores</w:t>
      </w:r>
      <w:r w:rsidR="005A1300">
        <w:t xml:space="preserve">, consisting of a few hundred microns of material, above a deeper base structure with larger pores. Interestingly, the original Type 2 pads were derived from </w:t>
      </w:r>
      <w:proofErr w:type="spellStart"/>
      <w:r w:rsidR="005A1300">
        <w:t>Corfam</w:t>
      </w:r>
      <w:proofErr w:type="spellEnd"/>
      <w:r w:rsidR="005A1300">
        <w:rPr>
          <w:rFonts w:ascii="Calibri" w:hAnsi="Calibri"/>
        </w:rPr>
        <w:t>®</w:t>
      </w:r>
      <w:r w:rsidR="005A1300">
        <w:t xml:space="preserve">, </w:t>
      </w:r>
      <w:proofErr w:type="gramStart"/>
      <w:r w:rsidR="005A1300">
        <w:t>a synthetic</w:t>
      </w:r>
      <w:proofErr w:type="gramEnd"/>
      <w:r w:rsidR="005A1300">
        <w:t xml:space="preserve"> leather developed by DuPont in the 1950s.</w:t>
      </w:r>
      <w:r w:rsidR="009268C9">
        <w:t xml:space="preserve"> Type 3 pads are the most widely used in semiconductor CMP, and have been the most widely studied.</w:t>
      </w:r>
      <w:r w:rsidR="00E634DB">
        <w:t xml:space="preserve"> Type 3 pads consist of discrete pores in a matrix of polyurethane</w:t>
      </w:r>
      <w:r w:rsidR="000F2B1F">
        <w:t xml:space="preserve">. The matrix properties can be varied over a wide range and pore sizes range from single to 10s of microns. Type 3 pads should be isotropic in terms of their physical property and porosity distribution. Type 4 pads are composed of solid polyurethane. While they have some niche application in semiconductor CMP, they are not widely used. Solid pads have no </w:t>
      </w:r>
      <w:r w:rsidR="00A174AD">
        <w:t xml:space="preserve">intrinsic </w:t>
      </w:r>
      <w:r w:rsidR="000F2B1F">
        <w:t>porosity.</w:t>
      </w:r>
      <w:r w:rsidR="006200D7">
        <w:t xml:space="preserve"> Type 1 and 2 pads are generally grouped as the “soft” pads, whereas Type 3 and 4 pads are referred to as “hard” pads.</w:t>
      </w:r>
      <w:r w:rsidR="006B0742">
        <w:t xml:space="preserve"> Type 3 pads typical</w:t>
      </w:r>
      <w:r w:rsidR="00064767">
        <w:t>ly</w:t>
      </w:r>
      <w:r w:rsidR="006B0742">
        <w:t xml:space="preserve"> </w:t>
      </w:r>
      <w:r w:rsidR="007002C9">
        <w:t>exhibit</w:t>
      </w:r>
      <w:r w:rsidR="006B0742">
        <w:t xml:space="preserve"> </w:t>
      </w:r>
      <w:r w:rsidR="007002C9">
        <w:t xml:space="preserve">Shore D </w:t>
      </w:r>
      <w:r w:rsidR="006B0742">
        <w:t xml:space="preserve">hardness in the range of 20-70. Type 1 and 2 pads are measured on softer </w:t>
      </w:r>
      <w:r w:rsidR="007002C9">
        <w:t xml:space="preserve">hardness </w:t>
      </w:r>
      <w:r w:rsidR="006B0742">
        <w:t>scales or in terms of compressibility.</w:t>
      </w:r>
    </w:p>
    <w:p w14:paraId="0EE38B9A" w14:textId="77777777" w:rsidR="00EB7182" w:rsidRDefault="00EB7182" w:rsidP="007A3918">
      <w:pPr>
        <w:tabs>
          <w:tab w:val="left" w:pos="270"/>
        </w:tabs>
        <w:jc w:val="both"/>
      </w:pPr>
    </w:p>
    <w:p w14:paraId="602889D8" w14:textId="41690887" w:rsidR="00427DB4" w:rsidRDefault="00EB7182" w:rsidP="007A3918">
      <w:pPr>
        <w:tabs>
          <w:tab w:val="left" w:pos="270"/>
        </w:tabs>
        <w:jc w:val="both"/>
      </w:pPr>
      <w:r>
        <w:rPr>
          <w:noProof/>
        </w:rPr>
        <mc:AlternateContent>
          <mc:Choice Requires="wps">
            <w:drawing>
              <wp:inline distT="0" distB="0" distL="0" distR="0" wp14:anchorId="7578FAA2" wp14:editId="66C04844">
                <wp:extent cx="3096895" cy="2552920"/>
                <wp:effectExtent l="0" t="0" r="27305"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552920"/>
                        </a:xfrm>
                        <a:prstGeom prst="rect">
                          <a:avLst/>
                        </a:prstGeom>
                        <a:solidFill>
                          <a:srgbClr val="FFFFFF"/>
                        </a:solidFill>
                        <a:ln w="9525">
                          <a:solidFill>
                            <a:srgbClr val="000000"/>
                          </a:solidFill>
                          <a:miter lim="800000"/>
                          <a:headEnd/>
                          <a:tailEnd/>
                        </a:ln>
                      </wps:spPr>
                      <wps:txbx>
                        <w:txbxContent>
                          <w:p w14:paraId="170E26A9" w14:textId="77777777" w:rsidR="00EB7182" w:rsidRDefault="00EB7182" w:rsidP="00EB7182">
                            <w:r w:rsidRPr="00785D76">
                              <w:rPr>
                                <w:noProof/>
                              </w:rPr>
                              <w:drawing>
                                <wp:inline distT="0" distB="0" distL="0" distR="0" wp14:anchorId="03BE78AB" wp14:editId="3D27F82F">
                                  <wp:extent cx="2589919" cy="2073471"/>
                                  <wp:effectExtent l="0" t="0" r="127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290" cy="2076170"/>
                                          </a:xfrm>
                                          <a:prstGeom prst="rect">
                                            <a:avLst/>
                                          </a:prstGeom>
                                          <a:noFill/>
                                          <a:ln>
                                            <a:noFill/>
                                          </a:ln>
                                          <a:effectLst/>
                                          <a:extLst/>
                                        </pic:spPr>
                                      </pic:pic>
                                    </a:graphicData>
                                  </a:graphic>
                                </wp:inline>
                              </w:drawing>
                            </w:r>
                          </w:p>
                          <w:p w14:paraId="14EDD985" w14:textId="77777777" w:rsidR="00EB7182" w:rsidRDefault="00EB7182" w:rsidP="00EB7182">
                            <w:proofErr w:type="gramStart"/>
                            <w:r>
                              <w:t>Fig. 2.</w:t>
                            </w:r>
                            <w:proofErr w:type="gramEnd"/>
                            <w:r>
                              <w:t xml:space="preserve">  Conceptual diagram of how porosity and conditioning combine to develop pad texture.</w:t>
                            </w:r>
                          </w:p>
                        </w:txbxContent>
                      </wps:txbx>
                      <wps:bodyPr rot="0" vert="horz" wrap="square" lIns="91440" tIns="45720" rIns="91440" bIns="45720" anchor="t" anchorCtr="0">
                        <a:noAutofit/>
                      </wps:bodyPr>
                    </wps:wsp>
                  </a:graphicData>
                </a:graphic>
              </wp:inline>
            </w:drawing>
          </mc:Choice>
          <mc:Fallback>
            <w:pict>
              <v:shape id="_x0000_s1027" type="#_x0000_t202" style="width:243.8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g0KQ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">
                <v:textbox>
                  <w:txbxContent>
                    <w:p w14:paraId="170E26A9" w14:textId="77777777" w:rsidR="00EB7182" w:rsidRDefault="00EB7182" w:rsidP="00EB7182">
                      <w:r w:rsidRPr="00785D76">
                        <w:rPr>
                          <w:noProof/>
                        </w:rPr>
                        <w:drawing>
                          <wp:inline distT="0" distB="0" distL="0" distR="0" wp14:anchorId="03BE78AB" wp14:editId="3D27F82F">
                            <wp:extent cx="2589919" cy="2073471"/>
                            <wp:effectExtent l="0" t="0" r="127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290" cy="2076170"/>
                                    </a:xfrm>
                                    <a:prstGeom prst="rect">
                                      <a:avLst/>
                                    </a:prstGeom>
                                    <a:noFill/>
                                    <a:ln>
                                      <a:noFill/>
                                    </a:ln>
                                    <a:effectLst/>
                                    <a:extLst/>
                                  </pic:spPr>
                                </pic:pic>
                              </a:graphicData>
                            </a:graphic>
                          </wp:inline>
                        </w:drawing>
                      </w:r>
                    </w:p>
                    <w:p w14:paraId="14EDD985" w14:textId="77777777" w:rsidR="00EB7182" w:rsidRDefault="00EB7182" w:rsidP="00EB7182">
                      <w:proofErr w:type="gramStart"/>
                      <w:r>
                        <w:t>Fig. 2.</w:t>
                      </w:r>
                      <w:proofErr w:type="gramEnd"/>
                      <w:r>
                        <w:t xml:space="preserve">  Conceptual diagram of how porosity and conditioning combine to develop pad texture.</w:t>
                      </w:r>
                    </w:p>
                  </w:txbxContent>
                </v:textbox>
                <w10:anchorlock/>
              </v:shape>
            </w:pict>
          </mc:Fallback>
        </mc:AlternateContent>
      </w:r>
    </w:p>
    <w:p w14:paraId="281C0020" w14:textId="77777777" w:rsidR="00AE4520" w:rsidRDefault="00AE4520" w:rsidP="00AE4520">
      <w:pPr>
        <w:tabs>
          <w:tab w:val="left" w:pos="270"/>
        </w:tabs>
        <w:jc w:val="both"/>
      </w:pPr>
      <w:r>
        <w:tab/>
      </w:r>
    </w:p>
    <w:p w14:paraId="439C9F9A" w14:textId="77777777" w:rsidR="007A44D5" w:rsidRDefault="00AE4520" w:rsidP="00AE4520">
      <w:pPr>
        <w:tabs>
          <w:tab w:val="left" w:pos="270"/>
        </w:tabs>
        <w:jc w:val="both"/>
      </w:pPr>
      <w:r>
        <w:tab/>
      </w:r>
      <w:r w:rsidR="00027B2C">
        <w:t xml:space="preserve">Pad conditioning affects CMP process performance in </w:t>
      </w:r>
      <w:r w:rsidR="00EA5FFE">
        <w:t>two</w:t>
      </w:r>
      <w:r w:rsidR="00027B2C">
        <w:t xml:space="preserve"> primary ways, 1) it defines the structure of the pad surface asperities that are in contact with the wafer and 2) it </w:t>
      </w:r>
      <w:r w:rsidR="00027B2C">
        <w:lastRenderedPageBreak/>
        <w:t xml:space="preserve">maintains stability by refreshing the surface after it is modified by the act of polishing. Figure </w:t>
      </w:r>
      <w:r w:rsidR="00A174AD">
        <w:t>2</w:t>
      </w:r>
      <w:r w:rsidR="00027B2C">
        <w:t xml:space="preserve"> illustrates the first effect. A given pad material has an intrinsic porosity that can be defined by a characteristic surface height distribution. </w:t>
      </w:r>
    </w:p>
    <w:p w14:paraId="44EF0827" w14:textId="6AA3B008" w:rsidR="00AE4520" w:rsidRDefault="007A3918" w:rsidP="00AE4520">
      <w:pPr>
        <w:tabs>
          <w:tab w:val="left" w:pos="270"/>
        </w:tabs>
        <w:jc w:val="both"/>
      </w:pPr>
      <w:r>
        <w:br/>
      </w:r>
      <w:r w:rsidR="007A44D5">
        <w:rPr>
          <w:noProof/>
        </w:rPr>
        <mc:AlternateContent>
          <mc:Choice Requires="wps">
            <w:drawing>
              <wp:inline distT="0" distB="0" distL="0" distR="0" wp14:anchorId="221B71E3" wp14:editId="0A8C3D9D">
                <wp:extent cx="3092046" cy="4581525"/>
                <wp:effectExtent l="0" t="0" r="13335"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046" cy="4581525"/>
                        </a:xfrm>
                        <a:prstGeom prst="rect">
                          <a:avLst/>
                        </a:prstGeom>
                        <a:solidFill>
                          <a:srgbClr val="FFFFFF"/>
                        </a:solidFill>
                        <a:ln w="9525">
                          <a:solidFill>
                            <a:srgbClr val="000000"/>
                          </a:solidFill>
                          <a:miter lim="800000"/>
                          <a:headEnd/>
                          <a:tailEnd/>
                        </a:ln>
                      </wps:spPr>
                      <wps:txbx>
                        <w:txbxContent>
                          <w:p w14:paraId="7CE520DF" w14:textId="156D9A09" w:rsidR="007A44D5" w:rsidRDefault="009B30EE" w:rsidP="007A44D5">
                            <w:pPr>
                              <w:jc w:val="center"/>
                            </w:pPr>
                            <w:r w:rsidRPr="009B30EE">
                              <w:rPr>
                                <w:noProof/>
                              </w:rPr>
                              <w:drawing>
                                <wp:inline distT="0" distB="0" distL="0" distR="0" wp14:anchorId="28BAFC6D" wp14:editId="03DC9F5B">
                                  <wp:extent cx="2799821" cy="3895725"/>
                                  <wp:effectExtent l="0" t="0" r="63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711" b="576"/>
                                          <a:stretch/>
                                        </pic:blipFill>
                                        <pic:spPr bwMode="auto">
                                          <a:xfrm>
                                            <a:off x="0" y="0"/>
                                            <a:ext cx="2805993" cy="390431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2AFDE0" w14:textId="77777777" w:rsidR="007A44D5" w:rsidRDefault="007A44D5" w:rsidP="007A44D5">
                            <w:proofErr w:type="gramStart"/>
                            <w:r>
                              <w:t>Fig. 3.</w:t>
                            </w:r>
                            <w:proofErr w:type="gramEnd"/>
                            <w:r>
                              <w:t xml:space="preserve">  a) Polish Rate and b) pad surface height distributions illustrating trends when maintenance conditioning is suspended in SiO</w:t>
                            </w:r>
                            <w:r w:rsidRPr="008A1F68">
                              <w:rPr>
                                <w:vertAlign w:val="subscript"/>
                              </w:rPr>
                              <w:t>2</w:t>
                            </w:r>
                            <w:r>
                              <w:t xml:space="preserve"> film polishing with </w:t>
                            </w:r>
                            <w:proofErr w:type="gramStart"/>
                            <w:r>
                              <w:t>a SiO</w:t>
                            </w:r>
                            <w:r w:rsidRPr="008A1F68">
                              <w:rPr>
                                <w:vertAlign w:val="subscript"/>
                              </w:rPr>
                              <w:t>2</w:t>
                            </w:r>
                            <w:proofErr w:type="gramEnd"/>
                            <w:r>
                              <w:t xml:space="preserve"> slurry on a Type 3 pad.</w:t>
                            </w:r>
                          </w:p>
                        </w:txbxContent>
                      </wps:txbx>
                      <wps:bodyPr rot="0" vert="horz" wrap="square" lIns="91440" tIns="45720" rIns="91440" bIns="45720" anchor="t" anchorCtr="0">
                        <a:noAutofit/>
                      </wps:bodyPr>
                    </wps:wsp>
                  </a:graphicData>
                </a:graphic>
              </wp:inline>
            </w:drawing>
          </mc:Choice>
          <mc:Fallback>
            <w:pict>
              <v:shape id="_x0000_s1028" type="#_x0000_t202" style="width:243.45pt;height:3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">
                <v:textbox>
                  <w:txbxContent>
                    <w:p w14:paraId="7CE520DF" w14:textId="156D9A09" w:rsidR="007A44D5" w:rsidRDefault="009B30EE" w:rsidP="007A44D5">
                      <w:pPr>
                        <w:jc w:val="center"/>
                      </w:pPr>
                      <w:r w:rsidRPr="009B30EE">
                        <w:rPr>
                          <w:noProof/>
                        </w:rPr>
                        <w:drawing>
                          <wp:inline distT="0" distB="0" distL="0" distR="0" wp14:anchorId="28BAFC6D" wp14:editId="03DC9F5B">
                            <wp:extent cx="2799821" cy="3895725"/>
                            <wp:effectExtent l="0" t="0" r="63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711" b="576"/>
                                    <a:stretch/>
                                  </pic:blipFill>
                                  <pic:spPr bwMode="auto">
                                    <a:xfrm>
                                      <a:off x="0" y="0"/>
                                      <a:ext cx="2805993" cy="390431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2AFDE0" w14:textId="77777777" w:rsidR="007A44D5" w:rsidRDefault="007A44D5" w:rsidP="007A44D5">
                      <w:proofErr w:type="gramStart"/>
                      <w:r>
                        <w:t>Fig. 3.</w:t>
                      </w:r>
                      <w:proofErr w:type="gramEnd"/>
                      <w:r>
                        <w:t xml:space="preserve">  a) Polish Rate and b) pad surface height distributions illustrating trends when maintenance conditioning is suspended in SiO</w:t>
                      </w:r>
                      <w:r w:rsidRPr="008A1F68">
                        <w:rPr>
                          <w:vertAlign w:val="subscript"/>
                        </w:rPr>
                        <w:t>2</w:t>
                      </w:r>
                      <w:r>
                        <w:t xml:space="preserve"> film polishing with </w:t>
                      </w:r>
                      <w:proofErr w:type="gramStart"/>
                      <w:r>
                        <w:t>a SiO</w:t>
                      </w:r>
                      <w:r w:rsidRPr="008A1F68">
                        <w:rPr>
                          <w:vertAlign w:val="subscript"/>
                        </w:rPr>
                        <w:t>2</w:t>
                      </w:r>
                      <w:proofErr w:type="gramEnd"/>
                      <w:r>
                        <w:t xml:space="preserve"> slurry on a Type 3 pad.</w:t>
                      </w:r>
                    </w:p>
                  </w:txbxContent>
                </v:textbox>
                <w10:anchorlock/>
              </v:shape>
            </w:pict>
          </mc:Fallback>
        </mc:AlternateContent>
      </w:r>
    </w:p>
    <w:p w14:paraId="24A521FD" w14:textId="77777777" w:rsidR="007A44D5" w:rsidRDefault="00AE4520" w:rsidP="00AE4520">
      <w:pPr>
        <w:tabs>
          <w:tab w:val="left" w:pos="270"/>
        </w:tabs>
        <w:jc w:val="both"/>
      </w:pPr>
      <w:r>
        <w:tab/>
      </w:r>
    </w:p>
    <w:p w14:paraId="66BAD1E0" w14:textId="5992C104" w:rsidR="00FC31A6" w:rsidRDefault="00027B2C" w:rsidP="00AE4520">
      <w:pPr>
        <w:tabs>
          <w:tab w:val="left" w:pos="270"/>
        </w:tabs>
        <w:jc w:val="both"/>
      </w:pPr>
      <w:r>
        <w:t xml:space="preserve">The porosity distribution of most pad materials can be </w:t>
      </w:r>
      <w:r w:rsidR="006F069B">
        <w:t>modeled</w:t>
      </w:r>
      <w:r>
        <w:t xml:space="preserve"> </w:t>
      </w:r>
      <w:r w:rsidR="006F069B">
        <w:t>as</w:t>
      </w:r>
      <w:r>
        <w:t xml:space="preserve"> an </w:t>
      </w:r>
      <w:proofErr w:type="gramStart"/>
      <w:r>
        <w:t>exponential</w:t>
      </w:r>
      <w:r w:rsidR="0027264E">
        <w:t>[</w:t>
      </w:r>
      <w:proofErr w:type="gramEnd"/>
      <w:r w:rsidR="0027264E">
        <w:t>2]</w:t>
      </w:r>
      <w:r>
        <w:t>. The pad conditioner has a characteristic cutting distribution, defined by the size, density and sharpness of the engineered diamond abrasive crystal</w:t>
      </w:r>
      <w:r w:rsidR="00307926">
        <w:t>s</w:t>
      </w:r>
      <w:r>
        <w:t xml:space="preserve"> on its surface</w:t>
      </w:r>
      <w:r w:rsidR="006F069B">
        <w:t>, which is superimposed on the pad’s intrinsic porosity distribution</w:t>
      </w:r>
      <w:r>
        <w:t>.</w:t>
      </w:r>
      <w:r w:rsidR="006F069B">
        <w:t xml:space="preserve"> The cutting characteristic is often modeled as a </w:t>
      </w:r>
      <w:proofErr w:type="gramStart"/>
      <w:r w:rsidR="006F069B">
        <w:t>Gaussian</w:t>
      </w:r>
      <w:r w:rsidR="0027264E">
        <w:t>[</w:t>
      </w:r>
      <w:proofErr w:type="gramEnd"/>
      <w:r w:rsidR="0027264E">
        <w:t>2]</w:t>
      </w:r>
      <w:r w:rsidR="006F069B">
        <w:t xml:space="preserve">. Figure </w:t>
      </w:r>
      <w:r w:rsidR="00A174AD">
        <w:t>3</w:t>
      </w:r>
      <w:r w:rsidR="001D54A3">
        <w:t xml:space="preserve"> [1]</w:t>
      </w:r>
      <w:r w:rsidR="006F069B">
        <w:t xml:space="preserve"> illustrates some aspects of both </w:t>
      </w:r>
      <w:r w:rsidR="0027264E">
        <w:t>e</w:t>
      </w:r>
      <w:r w:rsidR="006F069B">
        <w:t xml:space="preserve">ffects. Figure </w:t>
      </w:r>
      <w:r w:rsidR="00A174AD">
        <w:t>3</w:t>
      </w:r>
      <w:r w:rsidR="006F069B">
        <w:t xml:space="preserve">a shows the effect of conditioner induced roughness on polish rate (on the same pad, the rougher surface yields a higher polish rate) as well as the effect of the lack of conditioning and the associated surface degradation on polish rate decay. Figure </w:t>
      </w:r>
      <w:r w:rsidR="00A174AD">
        <w:t>3</w:t>
      </w:r>
      <w:r w:rsidR="006F069B">
        <w:t xml:space="preserve">b illustrates that the polish rate decay observed when conditioning is suspended is driven by the wear of pad surface asperities. In the absence of regeneration by conditioning, surface asperities </w:t>
      </w:r>
      <w:r w:rsidR="00704422">
        <w:t xml:space="preserve">are worn and </w:t>
      </w:r>
      <w:r w:rsidR="006F069B">
        <w:t>become truncated</w:t>
      </w:r>
      <w:r w:rsidR="00064767">
        <w:t xml:space="preserve"> (colloquially referred to as “glazing”)</w:t>
      </w:r>
      <w:r w:rsidR="006F069B">
        <w:t>, as measured by the narrow secondary mode that arises at the pad near surface</w:t>
      </w:r>
      <w:r w:rsidR="00704422">
        <w:t xml:space="preserve"> as wear progresses</w:t>
      </w:r>
      <w:r w:rsidR="007A3918">
        <w:t>.</w:t>
      </w:r>
    </w:p>
    <w:p w14:paraId="07D9CBA5" w14:textId="59B421AA" w:rsidR="007A3918" w:rsidRDefault="007A3918" w:rsidP="007A3918">
      <w:pPr>
        <w:pStyle w:val="Heading2"/>
      </w:pPr>
      <w:r>
        <w:lastRenderedPageBreak/>
        <w:t>Applications</w:t>
      </w:r>
    </w:p>
    <w:p w14:paraId="40927335" w14:textId="77777777" w:rsidR="007A3918" w:rsidRDefault="007A3918" w:rsidP="007A3918"/>
    <w:p w14:paraId="6DF25007" w14:textId="160C3995" w:rsidR="008436ED" w:rsidRDefault="007A3918" w:rsidP="007A3918">
      <w:pPr>
        <w:tabs>
          <w:tab w:val="left" w:pos="270"/>
        </w:tabs>
        <w:jc w:val="both"/>
      </w:pPr>
      <w:r>
        <w:tab/>
      </w:r>
      <w:r w:rsidR="009A5080">
        <w:t xml:space="preserve">Type </w:t>
      </w:r>
      <w:r w:rsidR="006200D7">
        <w:t>1</w:t>
      </w:r>
      <w:r w:rsidR="009A5080">
        <w:t xml:space="preserve"> polishing pads</w:t>
      </w:r>
      <w:r w:rsidR="008436ED">
        <w:t xml:space="preserve"> </w:t>
      </w:r>
      <w:r w:rsidR="009A5080">
        <w:t xml:space="preserve">are widely used in the preparation of compound semiconductor substrates. Recently, we have been applying the models developed in semiconductor CMP on Type </w:t>
      </w:r>
      <w:r w:rsidR="006200D7">
        <w:t>3</w:t>
      </w:r>
      <w:r w:rsidR="009A5080">
        <w:t xml:space="preserve"> </w:t>
      </w:r>
      <w:r w:rsidR="00064767">
        <w:t xml:space="preserve">pads </w:t>
      </w:r>
      <w:r w:rsidR="00F953F7">
        <w:t>to T</w:t>
      </w:r>
      <w:r w:rsidR="009A5080">
        <w:t xml:space="preserve">ype </w:t>
      </w:r>
      <w:r w:rsidR="006200D7">
        <w:t>1</w:t>
      </w:r>
      <w:r w:rsidR="009A5080">
        <w:t xml:space="preserve"> </w:t>
      </w:r>
      <w:r w:rsidR="00F953F7">
        <w:t xml:space="preserve">(“soft”) </w:t>
      </w:r>
      <w:r w:rsidR="009A5080">
        <w:t xml:space="preserve">pads. </w:t>
      </w:r>
      <w:r w:rsidR="00CF70F8">
        <w:t xml:space="preserve">As Figure 4 illustrates, </w:t>
      </w:r>
      <w:r w:rsidR="008436ED">
        <w:t>Type 1 pad</w:t>
      </w:r>
      <w:r w:rsidR="00CF70F8">
        <w:t>s exhibit an exponential porosity signature, but with a decay length about an order of magnitude larger than a typical Type 3 pad, consistent with the difference in length scales of the pores of the two pad types</w:t>
      </w:r>
      <w:r w:rsidR="008436ED">
        <w:t>.</w:t>
      </w:r>
      <w:r w:rsidR="00CF70F8">
        <w:t xml:space="preserve"> The core of the distribution (accounting for over 50% of the total surface) can be modeled as a Gaussian. The pad near surface can be modeled as a second exponential, but with a sig</w:t>
      </w:r>
      <w:r w:rsidR="00064767">
        <w:t>nificantly smaller decay length</w:t>
      </w:r>
      <w:r w:rsidR="00CF70F8">
        <w:t xml:space="preserve"> than the exponential modeling the porosity.</w:t>
      </w:r>
    </w:p>
    <w:p w14:paraId="649437D4" w14:textId="77777777" w:rsidR="00CF70F8" w:rsidRDefault="00CF70F8" w:rsidP="007A3918">
      <w:pPr>
        <w:tabs>
          <w:tab w:val="left" w:pos="270"/>
        </w:tabs>
        <w:jc w:val="both"/>
      </w:pPr>
    </w:p>
    <w:p w14:paraId="6D511DA6" w14:textId="5AA0BFDB" w:rsidR="008436ED" w:rsidRDefault="00CF70F8" w:rsidP="007A3918">
      <w:pPr>
        <w:tabs>
          <w:tab w:val="left" w:pos="270"/>
        </w:tabs>
        <w:jc w:val="both"/>
      </w:pPr>
      <w:r>
        <w:rPr>
          <w:noProof/>
        </w:rPr>
        <mc:AlternateContent>
          <mc:Choice Requires="wps">
            <w:drawing>
              <wp:inline distT="0" distB="0" distL="0" distR="0" wp14:anchorId="5154D7C5" wp14:editId="63ED11B1">
                <wp:extent cx="3097332" cy="3832860"/>
                <wp:effectExtent l="0" t="0" r="27305" b="152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332" cy="3832860"/>
                        </a:xfrm>
                        <a:prstGeom prst="rect">
                          <a:avLst/>
                        </a:prstGeom>
                        <a:solidFill>
                          <a:srgbClr val="FFFFFF"/>
                        </a:solidFill>
                        <a:ln w="9525">
                          <a:solidFill>
                            <a:srgbClr val="000000"/>
                          </a:solidFill>
                          <a:miter lim="800000"/>
                          <a:headEnd/>
                          <a:tailEnd/>
                        </a:ln>
                      </wps:spPr>
                      <wps:txbx>
                        <w:txbxContent>
                          <w:p w14:paraId="07076D94" w14:textId="3D83A90C" w:rsidR="00CF70F8" w:rsidRDefault="00741CC1" w:rsidP="00CF70F8">
                            <w:pPr>
                              <w:jc w:val="center"/>
                            </w:pPr>
                            <w:r w:rsidRPr="00741CC1">
                              <w:drawing>
                                <wp:inline distT="0" distB="0" distL="0" distR="0" wp14:anchorId="504B5080" wp14:editId="4D190048">
                                  <wp:extent cx="2864768" cy="326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910" t="1149" r="3084"/>
                                          <a:stretch/>
                                        </pic:blipFill>
                                        <pic:spPr bwMode="auto">
                                          <a:xfrm>
                                            <a:off x="0" y="0"/>
                                            <a:ext cx="2863075" cy="3264340"/>
                                          </a:xfrm>
                                          <a:prstGeom prst="rect">
                                            <a:avLst/>
                                          </a:prstGeom>
                                          <a:noFill/>
                                          <a:ln>
                                            <a:noFill/>
                                          </a:ln>
                                          <a:extLst>
                                            <a:ext uri="{53640926-AAD7-44D8-BBD7-CCE9431645EC}">
                                              <a14:shadowObscured xmlns:a14="http://schemas.microsoft.com/office/drawing/2010/main"/>
                                            </a:ext>
                                          </a:extLst>
                                        </pic:spPr>
                                      </pic:pic>
                                    </a:graphicData>
                                  </a:graphic>
                                </wp:inline>
                              </w:drawing>
                            </w:r>
                          </w:p>
                          <w:p w14:paraId="43037F09" w14:textId="09B440A1" w:rsidR="00CF70F8" w:rsidRDefault="00CF70F8" w:rsidP="00CF70F8">
                            <w:proofErr w:type="gramStart"/>
                            <w:r>
                              <w:t>Fig. 4.</w:t>
                            </w:r>
                            <w:proofErr w:type="gramEnd"/>
                            <w:r>
                              <w:t xml:space="preserve">  Pad height probability distribution functions for 5 different locations on a new Type I pad, illustrating the model for Type 1 pad texture.</w:t>
                            </w:r>
                          </w:p>
                        </w:txbxContent>
                      </wps:txbx>
                      <wps:bodyPr rot="0" vert="horz" wrap="square" lIns="91440" tIns="45720" rIns="91440" bIns="45720" anchor="t" anchorCtr="0">
                        <a:noAutofit/>
                      </wps:bodyPr>
                    </wps:wsp>
                  </a:graphicData>
                </a:graphic>
              </wp:inline>
            </w:drawing>
          </mc:Choice>
          <mc:Fallback>
            <w:pict>
              <v:shape id="_x0000_s1029" type="#_x0000_t202" style="width:243.9pt;height:30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wKAIAAEwEAAAOAAAAZHJzL2Uyb0RvYy54bWysVNuO0zAQfUfiHyy/06RJu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">
                <v:textbox>
                  <w:txbxContent>
                    <w:p w14:paraId="07076D94" w14:textId="3D83A90C" w:rsidR="00CF70F8" w:rsidRDefault="00741CC1" w:rsidP="00CF70F8">
                      <w:pPr>
                        <w:jc w:val="center"/>
                      </w:pPr>
                      <w:r w:rsidRPr="00741CC1">
                        <w:drawing>
                          <wp:inline distT="0" distB="0" distL="0" distR="0" wp14:anchorId="504B5080" wp14:editId="4D190048">
                            <wp:extent cx="2864768" cy="326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910" t="1149" r="3084"/>
                                    <a:stretch/>
                                  </pic:blipFill>
                                  <pic:spPr bwMode="auto">
                                    <a:xfrm>
                                      <a:off x="0" y="0"/>
                                      <a:ext cx="2863075" cy="3264340"/>
                                    </a:xfrm>
                                    <a:prstGeom prst="rect">
                                      <a:avLst/>
                                    </a:prstGeom>
                                    <a:noFill/>
                                    <a:ln>
                                      <a:noFill/>
                                    </a:ln>
                                    <a:extLst>
                                      <a:ext uri="{53640926-AAD7-44D8-BBD7-CCE9431645EC}">
                                        <a14:shadowObscured xmlns:a14="http://schemas.microsoft.com/office/drawing/2010/main"/>
                                      </a:ext>
                                    </a:extLst>
                                  </pic:spPr>
                                </pic:pic>
                              </a:graphicData>
                            </a:graphic>
                          </wp:inline>
                        </w:drawing>
                      </w:r>
                    </w:p>
                    <w:p w14:paraId="43037F09" w14:textId="09B440A1" w:rsidR="00CF70F8" w:rsidRDefault="00CF70F8" w:rsidP="00CF70F8">
                      <w:proofErr w:type="gramStart"/>
                      <w:r>
                        <w:t>Fig. 4.</w:t>
                      </w:r>
                      <w:proofErr w:type="gramEnd"/>
                      <w:r>
                        <w:t xml:space="preserve">  Pad height probability distribution functions for 5 different locations on a new Type I pad, illustrating the model for Type 1 pad texture.</w:t>
                      </w:r>
                    </w:p>
                  </w:txbxContent>
                </v:textbox>
                <w10:anchorlock/>
              </v:shape>
            </w:pict>
          </mc:Fallback>
        </mc:AlternateContent>
      </w:r>
    </w:p>
    <w:p w14:paraId="6F937BFF" w14:textId="77777777" w:rsidR="005C4E10" w:rsidRDefault="005C4E10" w:rsidP="007A3918">
      <w:pPr>
        <w:tabs>
          <w:tab w:val="left" w:pos="270"/>
        </w:tabs>
        <w:jc w:val="both"/>
      </w:pPr>
    </w:p>
    <w:p w14:paraId="2F8F46F6" w14:textId="52CCF9E1" w:rsidR="00E61BB9" w:rsidRDefault="00AE3663" w:rsidP="007A3918">
      <w:pPr>
        <w:tabs>
          <w:tab w:val="left" w:pos="270"/>
        </w:tabs>
        <w:jc w:val="both"/>
        <w:rPr>
          <w:noProof/>
        </w:rPr>
      </w:pPr>
      <w:r>
        <w:tab/>
      </w:r>
      <w:r w:rsidR="009A5080">
        <w:t xml:space="preserve">Figure </w:t>
      </w:r>
      <w:r w:rsidR="00EB7182">
        <w:t>5</w:t>
      </w:r>
      <w:r w:rsidR="009A5080">
        <w:t xml:space="preserve"> illustrates the range of texture that can be developed on the</w:t>
      </w:r>
      <w:r w:rsidR="000D02F5">
        <w:t xml:space="preserve"> Du</w:t>
      </w:r>
      <w:r>
        <w:rPr>
          <w:vanish/>
        </w:rPr>
        <w:t>s</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9A5080">
        <w:t xml:space="preserve">Pont Suba 800 impregnated felt </w:t>
      </w:r>
      <w:proofErr w:type="gramStart"/>
      <w:r w:rsidR="009A5080">
        <w:t>pad</w:t>
      </w:r>
      <w:proofErr w:type="gramEnd"/>
      <w:r w:rsidR="0024185A">
        <w:t>, one of the Type 1 pads most widely used in substrate polishing applications</w:t>
      </w:r>
      <w:r w:rsidR="009A5080">
        <w:t xml:space="preserve">. As the figure illustrates, the </w:t>
      </w:r>
      <w:proofErr w:type="spellStart"/>
      <w:r w:rsidR="008A447A">
        <w:t>hwhm</w:t>
      </w:r>
      <w:proofErr w:type="spellEnd"/>
      <w:r w:rsidR="008A447A">
        <w:t xml:space="preserve"> of the Gaussian core can be driven from about</w:t>
      </w:r>
      <w:r w:rsidR="009A5080">
        <w:t xml:space="preserve"> </w:t>
      </w:r>
      <w:r w:rsidR="008A447A">
        <w:t>10</w:t>
      </w:r>
      <w:r w:rsidR="00FF7EB3">
        <w:t xml:space="preserve"> to</w:t>
      </w:r>
      <w:r w:rsidR="008A447A">
        <w:t xml:space="preserve"> almost 30</w:t>
      </w:r>
      <w:r w:rsidR="00FF7EB3">
        <w:t xml:space="preserve"> </w:t>
      </w:r>
      <w:r w:rsidR="00FF7EB3">
        <w:rPr>
          <w:rFonts w:ascii="Calibri" w:hAnsi="Calibri"/>
        </w:rPr>
        <w:t>µ</w:t>
      </w:r>
      <w:r w:rsidR="00FF7EB3">
        <w:t>m, while maintaining the deep background porosity that characterizes this pad.</w:t>
      </w:r>
      <w:r w:rsidR="008A447A">
        <w:t xml:space="preserve"> </w:t>
      </w:r>
      <w:r w:rsidR="0024185A">
        <w:t>The range of attainable roughness on this pad indicates that not only can the typical new pad roughness be achieved and more importantly, maintained, with pad conditioning, but significantly smoother and rougher surfaces can be achieved.</w:t>
      </w:r>
      <w:r w:rsidR="0020746A">
        <w:t xml:space="preserve"> From our interactions with </w:t>
      </w:r>
      <w:r w:rsidR="0024185A">
        <w:t xml:space="preserve">substrate manufacturers, we have observed significant changes in the pad surface texture as a result of polishing, </w:t>
      </w:r>
      <w:r w:rsidR="00BF407D">
        <w:lastRenderedPageBreak/>
        <w:t xml:space="preserve">(similar to the glazing response observed in semiconductor CMP on Type 3 pads) </w:t>
      </w:r>
      <w:r w:rsidR="0024185A">
        <w:t xml:space="preserve">indicating a need for pad conditioning to improve </w:t>
      </w:r>
      <w:r w:rsidR="00BF407D">
        <w:t xml:space="preserve">textural stability and hence </w:t>
      </w:r>
      <w:r w:rsidR="0024185A">
        <w:t>process stability and performance</w:t>
      </w:r>
      <w:r w:rsidR="00CF405E">
        <w:t xml:space="preserve"> on these pad types</w:t>
      </w:r>
      <w:r w:rsidR="0024185A">
        <w:t>.</w:t>
      </w:r>
      <w:r w:rsidR="0020746A">
        <w:t xml:space="preserve"> The ability to drive the texture into rougher and smoother regimes implies a potential to drive the substrate process into previously unattainable performance </w:t>
      </w:r>
      <w:r w:rsidR="00AB18C8">
        <w:t>spaces</w:t>
      </w:r>
      <w:r w:rsidR="0020746A">
        <w:t xml:space="preserve">. For example, smoother surfaces may improve surface quality and </w:t>
      </w:r>
      <w:proofErr w:type="spellStart"/>
      <w:r w:rsidR="0020746A">
        <w:t>defectivity</w:t>
      </w:r>
      <w:proofErr w:type="spellEnd"/>
      <w:r w:rsidR="0020746A">
        <w:t xml:space="preserve"> metrics. Rougher surfaces may contribute to improved throughput through polish rate increase, at least these are the general trends observed in semiconductor CMP for physically dominated polish processes.</w:t>
      </w:r>
      <w:r w:rsidR="00E61BB9" w:rsidRPr="00E61BB9">
        <w:rPr>
          <w:noProof/>
        </w:rPr>
        <w:t xml:space="preserve"> </w:t>
      </w:r>
    </w:p>
    <w:p w14:paraId="320D7B5F" w14:textId="77777777" w:rsidR="00E61BB9" w:rsidRDefault="00E61BB9" w:rsidP="007A3918">
      <w:pPr>
        <w:tabs>
          <w:tab w:val="left" w:pos="270"/>
        </w:tabs>
        <w:jc w:val="both"/>
        <w:rPr>
          <w:noProof/>
        </w:rPr>
      </w:pPr>
    </w:p>
    <w:p w14:paraId="282FF826" w14:textId="26A20E5B" w:rsidR="007A3918" w:rsidRDefault="00E61BB9" w:rsidP="007A3918">
      <w:pPr>
        <w:tabs>
          <w:tab w:val="left" w:pos="270"/>
        </w:tabs>
        <w:jc w:val="both"/>
      </w:pPr>
      <w:r>
        <w:rPr>
          <w:noProof/>
        </w:rPr>
        <mc:AlternateContent>
          <mc:Choice Requires="wps">
            <w:drawing>
              <wp:inline distT="0" distB="0" distL="0" distR="0" wp14:anchorId="042B11B3" wp14:editId="0352B455">
                <wp:extent cx="3097332" cy="4314825"/>
                <wp:effectExtent l="0" t="0" r="27305"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332" cy="4314825"/>
                        </a:xfrm>
                        <a:prstGeom prst="rect">
                          <a:avLst/>
                        </a:prstGeom>
                        <a:solidFill>
                          <a:srgbClr val="FFFFFF"/>
                        </a:solidFill>
                        <a:ln w="9525">
                          <a:solidFill>
                            <a:srgbClr val="000000"/>
                          </a:solidFill>
                          <a:miter lim="800000"/>
                          <a:headEnd/>
                          <a:tailEnd/>
                        </a:ln>
                      </wps:spPr>
                      <wps:txbx>
                        <w:txbxContent>
                          <w:p w14:paraId="1D3DE2B0" w14:textId="77777777" w:rsidR="00E61BB9" w:rsidRDefault="00E61BB9" w:rsidP="00E61BB9">
                            <w:r>
                              <w:rPr>
                                <w:noProof/>
                              </w:rPr>
                              <w:drawing>
                                <wp:inline distT="0" distB="0" distL="0" distR="0" wp14:anchorId="0C626136" wp14:editId="353819ED">
                                  <wp:extent cx="2978411" cy="36449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28A0092B-C50C-407E-A947-70E740481C1C}">
                                                <a14:useLocalDpi xmlns:a14="http://schemas.microsoft.com/office/drawing/2010/main" val="0"/>
                                              </a:ext>
                                            </a:extLst>
                                          </a:blip>
                                          <a:srcRect l="1093" r="2188"/>
                                          <a:stretch/>
                                        </pic:blipFill>
                                        <pic:spPr bwMode="auto">
                                          <a:xfrm>
                                            <a:off x="0" y="0"/>
                                            <a:ext cx="2982022" cy="3649318"/>
                                          </a:xfrm>
                                          <a:prstGeom prst="rect">
                                            <a:avLst/>
                                          </a:prstGeom>
                                          <a:noFill/>
                                          <a:ln>
                                            <a:noFill/>
                                          </a:ln>
                                          <a:extLst>
                                            <a:ext uri="{53640926-AAD7-44D8-BBD7-CCE9431645EC}">
                                              <a14:shadowObscured xmlns:a14="http://schemas.microsoft.com/office/drawing/2010/main"/>
                                            </a:ext>
                                          </a:extLst>
                                        </pic:spPr>
                                      </pic:pic>
                                    </a:graphicData>
                                  </a:graphic>
                                </wp:inline>
                              </w:drawing>
                            </w:r>
                          </w:p>
                          <w:p w14:paraId="6A2E46E3" w14:textId="77777777" w:rsidR="00E61BB9" w:rsidRDefault="00E61BB9" w:rsidP="00E61BB9">
                            <w:proofErr w:type="gramStart"/>
                            <w:r>
                              <w:t>Fig. 5.</w:t>
                            </w:r>
                            <w:proofErr w:type="gramEnd"/>
                            <w:r>
                              <w:t xml:space="preserve">  Pad surface height distributions on a Type I pad conditioned with a range of designs and an un-conditioned new pad, developing a range of Gaussian core roughness as indicated by the legend.</w:t>
                            </w:r>
                          </w:p>
                        </w:txbxContent>
                      </wps:txbx>
                      <wps:bodyPr rot="0" vert="horz" wrap="square" lIns="91440" tIns="45720" rIns="91440" bIns="45720" anchor="t" anchorCtr="0">
                        <a:noAutofit/>
                      </wps:bodyPr>
                    </wps:wsp>
                  </a:graphicData>
                </a:graphic>
              </wp:inline>
            </w:drawing>
          </mc:Choice>
          <mc:Fallback>
            <w:pict>
              <v:shape id="_x0000_s1030" type="#_x0000_t202" style="width:243.9pt;height:3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">
                <v:textbox>
                  <w:txbxContent>
                    <w:p w14:paraId="1D3DE2B0" w14:textId="77777777" w:rsidR="00E61BB9" w:rsidRDefault="00E61BB9" w:rsidP="00E61BB9">
                      <w:r>
                        <w:rPr>
                          <w:noProof/>
                        </w:rPr>
                        <w:drawing>
                          <wp:inline distT="0" distB="0" distL="0" distR="0" wp14:anchorId="0C626136" wp14:editId="353819ED">
                            <wp:extent cx="2978411" cy="36449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28A0092B-C50C-407E-A947-70E740481C1C}">
                                          <a14:useLocalDpi xmlns:a14="http://schemas.microsoft.com/office/drawing/2010/main" val="0"/>
                                        </a:ext>
                                      </a:extLst>
                                    </a:blip>
                                    <a:srcRect l="1093" r="2188"/>
                                    <a:stretch/>
                                  </pic:blipFill>
                                  <pic:spPr bwMode="auto">
                                    <a:xfrm>
                                      <a:off x="0" y="0"/>
                                      <a:ext cx="2982022" cy="3649318"/>
                                    </a:xfrm>
                                    <a:prstGeom prst="rect">
                                      <a:avLst/>
                                    </a:prstGeom>
                                    <a:noFill/>
                                    <a:ln>
                                      <a:noFill/>
                                    </a:ln>
                                    <a:extLst>
                                      <a:ext uri="{53640926-AAD7-44D8-BBD7-CCE9431645EC}">
                                        <a14:shadowObscured xmlns:a14="http://schemas.microsoft.com/office/drawing/2010/main"/>
                                      </a:ext>
                                    </a:extLst>
                                  </pic:spPr>
                                </pic:pic>
                              </a:graphicData>
                            </a:graphic>
                          </wp:inline>
                        </w:drawing>
                      </w:r>
                    </w:p>
                    <w:p w14:paraId="6A2E46E3" w14:textId="77777777" w:rsidR="00E61BB9" w:rsidRDefault="00E61BB9" w:rsidP="00E61BB9">
                      <w:proofErr w:type="gramStart"/>
                      <w:r>
                        <w:t>Fig. 5.</w:t>
                      </w:r>
                      <w:proofErr w:type="gramEnd"/>
                      <w:r>
                        <w:t xml:space="preserve">  Pad surface height distributions on a Type I pad conditioned with a range of designs and an un-conditioned new pad, developing a range of Gaussian core roughness as indicated by the legend.</w:t>
                      </w:r>
                    </w:p>
                  </w:txbxContent>
                </v:textbox>
                <w10:anchorlock/>
              </v:shape>
            </w:pict>
          </mc:Fallback>
        </mc:AlternateContent>
      </w:r>
    </w:p>
    <w:p w14:paraId="4A42BBD6" w14:textId="77777777" w:rsidR="00E61BB9" w:rsidRDefault="00FF7EB3" w:rsidP="007A3918">
      <w:pPr>
        <w:tabs>
          <w:tab w:val="left" w:pos="270"/>
        </w:tabs>
        <w:jc w:val="both"/>
      </w:pPr>
      <w:r>
        <w:tab/>
      </w:r>
    </w:p>
    <w:p w14:paraId="3674908E" w14:textId="5F26CEB8" w:rsidR="00852DDB" w:rsidRDefault="00E61BB9" w:rsidP="007A3918">
      <w:pPr>
        <w:tabs>
          <w:tab w:val="left" w:pos="270"/>
        </w:tabs>
        <w:jc w:val="both"/>
      </w:pPr>
      <w:r>
        <w:tab/>
      </w:r>
      <w:r w:rsidR="00852DDB">
        <w:t xml:space="preserve">Figure 6 illustrates how key pad roughness metrics </w:t>
      </w:r>
      <w:r w:rsidR="00AE3663">
        <w:t xml:space="preserve">of Suba 800 </w:t>
      </w:r>
      <w:r w:rsidR="00852DDB">
        <w:t xml:space="preserve">are correlated with a basic conditioner diamond design parameter. This correlation provides for a straightforward way </w:t>
      </w:r>
      <w:r w:rsidR="00CF405E">
        <w:t xml:space="preserve">to </w:t>
      </w:r>
      <w:r w:rsidR="00852DDB">
        <w:t>target condit</w:t>
      </w:r>
      <w:r w:rsidR="00CF405E">
        <w:t>ioner designs to specific desired</w:t>
      </w:r>
      <w:r w:rsidR="00852DDB">
        <w:t xml:space="preserve"> roughness levels, and drive to a robust conditioning solution</w:t>
      </w:r>
      <w:r w:rsidR="003070E9">
        <w:t xml:space="preserve"> directly</w:t>
      </w:r>
      <w:r w:rsidR="00CF405E">
        <w:t>, with little or no significant process development required.</w:t>
      </w:r>
    </w:p>
    <w:p w14:paraId="0252ECD2" w14:textId="77777777" w:rsidR="00355256" w:rsidRDefault="00852DDB" w:rsidP="007A3918">
      <w:pPr>
        <w:tabs>
          <w:tab w:val="left" w:pos="270"/>
        </w:tabs>
        <w:jc w:val="both"/>
      </w:pPr>
      <w:r>
        <w:tab/>
      </w:r>
    </w:p>
    <w:p w14:paraId="613CD9B8" w14:textId="260951BC" w:rsidR="00FF7EB3" w:rsidRDefault="00355256" w:rsidP="007A3918">
      <w:pPr>
        <w:tabs>
          <w:tab w:val="left" w:pos="270"/>
        </w:tabs>
        <w:jc w:val="both"/>
      </w:pPr>
      <w:r>
        <w:tab/>
      </w:r>
      <w:r w:rsidR="00FF7EB3">
        <w:t xml:space="preserve">Type </w:t>
      </w:r>
      <w:r w:rsidR="006200D7">
        <w:t>3</w:t>
      </w:r>
      <w:r w:rsidR="00FF7EB3">
        <w:t xml:space="preserve"> pads are widely used in the final polishing step in the </w:t>
      </w:r>
      <w:proofErr w:type="spellStart"/>
      <w:r w:rsidR="00FF7EB3">
        <w:t>SiC</w:t>
      </w:r>
      <w:proofErr w:type="spellEnd"/>
      <w:r w:rsidR="00FF7EB3">
        <w:t xml:space="preserve"> wafer preparation process along with corrosive, low pH, KMnO</w:t>
      </w:r>
      <w:r w:rsidR="00FF7EB3" w:rsidRPr="00FF7EB3">
        <w:rPr>
          <w:vertAlign w:val="subscript"/>
        </w:rPr>
        <w:t>4</w:t>
      </w:r>
      <w:r w:rsidR="00FF7EB3">
        <w:t xml:space="preserve"> </w:t>
      </w:r>
      <w:r w:rsidR="00EA5FFE">
        <w:t xml:space="preserve">based </w:t>
      </w:r>
      <w:r w:rsidR="00FF7EB3">
        <w:t xml:space="preserve">slurries. The learnings from semiconductor CMP can be directly leveraged on these pads, along with the adoption of an advanced corrosion resistant, </w:t>
      </w:r>
      <w:r w:rsidR="00FF7EB3">
        <w:lastRenderedPageBreak/>
        <w:t>metal-free, conditioning platform such as the O-</w:t>
      </w:r>
      <w:proofErr w:type="spellStart"/>
      <w:r w:rsidR="00FF7EB3">
        <w:t>Pyradia</w:t>
      </w:r>
      <w:proofErr w:type="spellEnd"/>
      <w:r w:rsidR="00FF7EB3">
        <w:t xml:space="preserve"> disc from Kinik Company.</w:t>
      </w:r>
    </w:p>
    <w:p w14:paraId="6ED55650" w14:textId="77777777" w:rsidR="00CF405E" w:rsidRDefault="00CF405E" w:rsidP="007A3918">
      <w:pPr>
        <w:tabs>
          <w:tab w:val="left" w:pos="270"/>
        </w:tabs>
        <w:jc w:val="both"/>
      </w:pPr>
    </w:p>
    <w:p w14:paraId="762A410C" w14:textId="62614D1C" w:rsidR="00EB6B10" w:rsidRDefault="005217EE">
      <w:pPr>
        <w:pStyle w:val="Heading2"/>
      </w:pPr>
      <w:r>
        <w:rPr>
          <w:noProof/>
        </w:rPr>
        <mc:AlternateContent>
          <mc:Choice Requires="wps">
            <w:drawing>
              <wp:inline distT="0" distB="0" distL="0" distR="0" wp14:anchorId="49D80682" wp14:editId="33BF3C71">
                <wp:extent cx="3096895" cy="2340864"/>
                <wp:effectExtent l="0" t="0" r="27305" b="215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340864"/>
                        </a:xfrm>
                        <a:prstGeom prst="rect">
                          <a:avLst/>
                        </a:prstGeom>
                        <a:solidFill>
                          <a:srgbClr val="FFFFFF"/>
                        </a:solidFill>
                        <a:ln w="9525">
                          <a:solidFill>
                            <a:srgbClr val="000000"/>
                          </a:solidFill>
                          <a:miter lim="800000"/>
                          <a:headEnd/>
                          <a:tailEnd/>
                        </a:ln>
                      </wps:spPr>
                      <wps:txbx>
                        <w:txbxContent>
                          <w:p w14:paraId="11E0CF10" w14:textId="6756B03E" w:rsidR="005217EE" w:rsidRDefault="005217EE" w:rsidP="005217EE">
                            <w:r w:rsidRPr="005217EE">
                              <w:rPr>
                                <w:noProof/>
                              </w:rPr>
                              <w:drawing>
                                <wp:inline distT="0" distB="0" distL="0" distR="0" wp14:anchorId="03B42899" wp14:editId="5866A3BF">
                                  <wp:extent cx="2977286" cy="193128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519" t="2401" r="2771"/>
                                          <a:stretch/>
                                        </pic:blipFill>
                                        <pic:spPr bwMode="auto">
                                          <a:xfrm>
                                            <a:off x="0" y="0"/>
                                            <a:ext cx="2978302" cy="193194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8744C83" w14:textId="7BFDB17F" w:rsidR="005217EE" w:rsidRDefault="005217EE" w:rsidP="005217EE">
                            <w:proofErr w:type="gramStart"/>
                            <w:r>
                              <w:t>Fig. 6.</w:t>
                            </w:r>
                            <w:proofErr w:type="gramEnd"/>
                            <w:r>
                              <w:t xml:space="preserve">  Suba 800 roughness parameters correlated with a basic conditioner diamond design parameter.</w:t>
                            </w:r>
                          </w:p>
                        </w:txbxContent>
                      </wps:txbx>
                      <wps:bodyPr rot="0" vert="horz" wrap="square" lIns="91440" tIns="45720" rIns="91440" bIns="45720" anchor="t" anchorCtr="0">
                        <a:noAutofit/>
                      </wps:bodyPr>
                    </wps:wsp>
                  </a:graphicData>
                </a:graphic>
              </wp:inline>
            </w:drawing>
          </mc:Choice>
          <mc:Fallback>
            <w:pict>
              <v:shape id="_x0000_s1031" type="#_x0000_t202" style="width:243.85pt;height:18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4JwIAAEw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">
                <v:textbox>
                  <w:txbxContent>
                    <w:p w14:paraId="11E0CF10" w14:textId="6756B03E" w:rsidR="005217EE" w:rsidRDefault="005217EE" w:rsidP="005217EE">
                      <w:r w:rsidRPr="005217EE">
                        <w:rPr>
                          <w:noProof/>
                        </w:rPr>
                        <w:drawing>
                          <wp:inline distT="0" distB="0" distL="0" distR="0" wp14:anchorId="03B42899" wp14:editId="5866A3BF">
                            <wp:extent cx="2977286" cy="193128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519" t="2401" r="2771"/>
                                    <a:stretch/>
                                  </pic:blipFill>
                                  <pic:spPr bwMode="auto">
                                    <a:xfrm>
                                      <a:off x="0" y="0"/>
                                      <a:ext cx="2978302" cy="193194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8744C83" w14:textId="7BFDB17F" w:rsidR="005217EE" w:rsidRDefault="005217EE" w:rsidP="005217EE">
                      <w:proofErr w:type="gramStart"/>
                      <w:r>
                        <w:t>Fig. 6.</w:t>
                      </w:r>
                      <w:proofErr w:type="gramEnd"/>
                      <w:r>
                        <w:t xml:space="preserve">  Suba 800 roughness parameters correlated with a basic conditioner diamond design parameter.</w:t>
                      </w:r>
                    </w:p>
                  </w:txbxContent>
                </v:textbox>
                <w10:anchorlock/>
              </v:shape>
            </w:pict>
          </mc:Fallback>
        </mc:AlternateContent>
      </w:r>
    </w:p>
    <w:p w14:paraId="1136B57B" w14:textId="77777777" w:rsidR="00F64767" w:rsidRDefault="00F64767">
      <w:pPr>
        <w:pStyle w:val="Heading2"/>
      </w:pPr>
    </w:p>
    <w:p w14:paraId="0411D27C" w14:textId="77777777" w:rsidR="008F3F03" w:rsidRDefault="008F3F03">
      <w:pPr>
        <w:pStyle w:val="Heading2"/>
      </w:pPr>
      <w:r>
        <w:t>Conclusions</w:t>
      </w:r>
    </w:p>
    <w:p w14:paraId="135F0537" w14:textId="77777777" w:rsidR="00496C8D" w:rsidRDefault="008F3F03">
      <w:pPr>
        <w:pStyle w:val="BodyText2"/>
        <w:tabs>
          <w:tab w:val="left" w:pos="270"/>
        </w:tabs>
      </w:pPr>
      <w:r>
        <w:tab/>
      </w:r>
    </w:p>
    <w:p w14:paraId="0C99A5CC" w14:textId="77777777" w:rsidR="002B6174" w:rsidRDefault="00496C8D" w:rsidP="00F1670E">
      <w:pPr>
        <w:pStyle w:val="BodyText2"/>
        <w:tabs>
          <w:tab w:val="left" w:pos="270"/>
        </w:tabs>
      </w:pPr>
      <w:r>
        <w:tab/>
      </w:r>
      <w:r w:rsidR="002B6174">
        <w:t>Pad conditioning technology is in a mature stage in semiconductor CMP. It has been established that pad conditioning defines and maintains the surface asperity structure of the pad, removing worn pad material and regenerating the surface structure defined by the conditioner’s cutting characteristic. So not only does pad conditioning impart stability in semiconductor CMP, but can toggle process performance by driving the texture over a range of imparted roughness.</w:t>
      </w:r>
    </w:p>
    <w:p w14:paraId="55A97D5C" w14:textId="77777777" w:rsidR="002B6174" w:rsidRDefault="002B6174" w:rsidP="00F1670E">
      <w:pPr>
        <w:pStyle w:val="BodyText2"/>
        <w:tabs>
          <w:tab w:val="left" w:pos="270"/>
        </w:tabs>
      </w:pPr>
    </w:p>
    <w:p w14:paraId="21FC72F1" w14:textId="3C7615F6" w:rsidR="008F3F03" w:rsidRDefault="002B6174" w:rsidP="00F1670E">
      <w:pPr>
        <w:pStyle w:val="BodyText2"/>
        <w:tabs>
          <w:tab w:val="left" w:pos="270"/>
        </w:tabs>
      </w:pPr>
      <w:r>
        <w:tab/>
      </w:r>
      <w:r w:rsidR="00F1670E">
        <w:t>The pad conditioning models and protocols developed for semiconductor CMP can be adapted for application to compound sem</w:t>
      </w:r>
      <w:r>
        <w:t>iconductor substrate polishing. In some cases the same pad types are used in substrate polishing, so the semiconductor CMP knowledge base and protocols can be applied directly, such as</w:t>
      </w:r>
      <w:r w:rsidR="00F1670E">
        <w:t xml:space="preserve"> in the final polishing step on </w:t>
      </w:r>
      <w:proofErr w:type="spellStart"/>
      <w:r w:rsidR="00F1670E">
        <w:t>SiC</w:t>
      </w:r>
      <w:proofErr w:type="spellEnd"/>
      <w:r w:rsidR="00F1670E">
        <w:t xml:space="preserve"> wafers using KMNO</w:t>
      </w:r>
      <w:r w:rsidR="00F1670E" w:rsidRPr="00F1670E">
        <w:rPr>
          <w:vertAlign w:val="subscript"/>
        </w:rPr>
        <w:t>4</w:t>
      </w:r>
      <w:r w:rsidR="00F1670E">
        <w:t xml:space="preserve"> based slurries</w:t>
      </w:r>
      <w:r w:rsidR="00FC19CF">
        <w:t xml:space="preserve"> </w:t>
      </w:r>
      <w:r w:rsidR="00F1670E">
        <w:t xml:space="preserve">on Type </w:t>
      </w:r>
      <w:r w:rsidR="006200D7">
        <w:t>3</w:t>
      </w:r>
      <w:r w:rsidR="00F1670E">
        <w:t xml:space="preserve"> pads.</w:t>
      </w:r>
    </w:p>
    <w:p w14:paraId="19354A7F" w14:textId="77777777" w:rsidR="002B6174" w:rsidRDefault="002B6174" w:rsidP="00F1670E">
      <w:pPr>
        <w:pStyle w:val="BodyText2"/>
        <w:tabs>
          <w:tab w:val="left" w:pos="270"/>
        </w:tabs>
      </w:pPr>
    </w:p>
    <w:p w14:paraId="50F304B7" w14:textId="563FCA48" w:rsidR="008F3F03" w:rsidRDefault="002B6174" w:rsidP="002B6174">
      <w:pPr>
        <w:pStyle w:val="BodyText2"/>
        <w:tabs>
          <w:tab w:val="left" w:pos="270"/>
        </w:tabs>
      </w:pPr>
      <w:r>
        <w:tab/>
        <w:t>We have begun to apply the methodology used in semiconductor CMP pad conditioning process design to Type I pads, which are widely used in substrate polishing applications. While occurring at longer length scales, the same general model developed for Type 3 pads can be applied to Type 1 pads. A range of roughness, straddling the typical “as received” roughness of a new Type I pad</w:t>
      </w:r>
      <w:r w:rsidR="00CC678A">
        <w:t>,</w:t>
      </w:r>
      <w:r>
        <w:t xml:space="preserve"> can be developed on Type 1 pads. Core roughness on Type 1 pads is highly correlated with a basic conditioner diamond design parameter, yielding a</w:t>
      </w:r>
      <w:r w:rsidR="00EE6813">
        <w:t>n ability to target specific roughness levels. Our engagements with substrate manufacturer</w:t>
      </w:r>
      <w:r w:rsidR="00307926">
        <w:t>s</w:t>
      </w:r>
      <w:r w:rsidR="00EE6813">
        <w:t xml:space="preserve">, and analysis of their used pads, indicates that the same asperity wear processes </w:t>
      </w:r>
      <w:r w:rsidR="00F3154C">
        <w:t xml:space="preserve">observed in semiconductor CMP </w:t>
      </w:r>
      <w:r w:rsidR="00EE6813">
        <w:t xml:space="preserve">are occurring in the substrate polishing processes, implying a need for texture regeneration through pad conditioning. The ability to toggle core roughness outside of the current typical </w:t>
      </w:r>
      <w:r w:rsidR="00EE6813">
        <w:lastRenderedPageBreak/>
        <w:t>operating range in substrate polishing implies an ability to drive the process into previously unutilized textural regimes that could result in performance enhancements for specific applications.</w:t>
      </w:r>
    </w:p>
    <w:p w14:paraId="0D675929" w14:textId="77777777" w:rsidR="002B6174" w:rsidRDefault="002B6174" w:rsidP="002B6174">
      <w:pPr>
        <w:pStyle w:val="BodyText2"/>
        <w:tabs>
          <w:tab w:val="left" w:pos="270"/>
        </w:tabs>
      </w:pPr>
    </w:p>
    <w:p w14:paraId="1608C8EF" w14:textId="77777777" w:rsidR="008F3F03" w:rsidRDefault="008F3F03">
      <w:pPr>
        <w:pStyle w:val="Heading2"/>
      </w:pPr>
      <w:r>
        <w:t>References</w:t>
      </w:r>
    </w:p>
    <w:p w14:paraId="4A869003" w14:textId="77777777" w:rsidR="00496C8D" w:rsidRPr="00496C8D" w:rsidRDefault="00496C8D" w:rsidP="00496C8D"/>
    <w:p w14:paraId="6A11343D" w14:textId="4F738B4F" w:rsidR="008F3F03" w:rsidRPr="0003400E" w:rsidRDefault="008F3F03" w:rsidP="0027264E">
      <w:pPr>
        <w:tabs>
          <w:tab w:val="left" w:pos="270"/>
        </w:tabs>
        <w:ind w:left="270" w:hanging="270"/>
        <w:jc w:val="both"/>
        <w:rPr>
          <w:snapToGrid w:val="0"/>
        </w:rPr>
      </w:pPr>
      <w:r w:rsidRPr="0003400E">
        <w:rPr>
          <w:snapToGrid w:val="0"/>
        </w:rPr>
        <w:t>[1]</w:t>
      </w:r>
      <w:r w:rsidRPr="0003400E">
        <w:rPr>
          <w:snapToGrid w:val="0"/>
        </w:rPr>
        <w:tab/>
      </w:r>
      <w:r w:rsidR="001D54A3">
        <w:rPr>
          <w:snapToGrid w:val="0"/>
        </w:rPr>
        <w:t xml:space="preserve">A.S. Lawing, </w:t>
      </w:r>
      <w:r w:rsidR="0027264E" w:rsidRPr="001D54A3">
        <w:rPr>
          <w:i/>
          <w:snapToGrid w:val="0"/>
        </w:rPr>
        <w:t>Pad Conditioning and Pad Surface Characterization in Oxide Chemical Mechanical Polishing</w:t>
      </w:r>
      <w:r w:rsidR="001D54A3">
        <w:rPr>
          <w:snapToGrid w:val="0"/>
        </w:rPr>
        <w:t>,</w:t>
      </w:r>
      <w:r w:rsidR="0027264E" w:rsidRPr="0027264E">
        <w:rPr>
          <w:snapToGrid w:val="0"/>
        </w:rPr>
        <w:t xml:space="preserve"> MRS Proceedings, 732,</w:t>
      </w:r>
      <w:r w:rsidR="001D54A3" w:rsidRPr="001D54A3">
        <w:rPr>
          <w:snapToGrid w:val="0"/>
        </w:rPr>
        <w:t xml:space="preserve"> </w:t>
      </w:r>
      <w:r w:rsidR="001D54A3" w:rsidRPr="0027264E">
        <w:rPr>
          <w:snapToGrid w:val="0"/>
        </w:rPr>
        <w:t>(2002)</w:t>
      </w:r>
      <w:r w:rsidR="00F1670E">
        <w:rPr>
          <w:snapToGrid w:val="0"/>
        </w:rPr>
        <w:t>.</w:t>
      </w:r>
    </w:p>
    <w:p w14:paraId="310E09F0" w14:textId="77777777" w:rsidR="008F3F03" w:rsidRPr="0003400E" w:rsidRDefault="008F3F03">
      <w:pPr>
        <w:tabs>
          <w:tab w:val="left" w:pos="270"/>
        </w:tabs>
        <w:ind w:left="270" w:hanging="270"/>
        <w:jc w:val="both"/>
        <w:rPr>
          <w:snapToGrid w:val="0"/>
        </w:rPr>
      </w:pPr>
    </w:p>
    <w:p w14:paraId="02A006BF" w14:textId="1EB434EF" w:rsidR="008F3F03" w:rsidRPr="00A46ACB" w:rsidRDefault="008F3F03">
      <w:pPr>
        <w:tabs>
          <w:tab w:val="left" w:pos="270"/>
        </w:tabs>
        <w:ind w:left="270" w:hanging="270"/>
        <w:jc w:val="both"/>
        <w:rPr>
          <w:sz w:val="24"/>
        </w:rPr>
      </w:pPr>
      <w:r w:rsidRPr="0003400E">
        <w:rPr>
          <w:snapToGrid w:val="0"/>
        </w:rPr>
        <w:t>[2]</w:t>
      </w:r>
      <w:r w:rsidRPr="0003400E">
        <w:rPr>
          <w:snapToGrid w:val="0"/>
        </w:rPr>
        <w:tab/>
      </w:r>
      <w:r w:rsidR="00A46ACB">
        <w:rPr>
          <w:snapToGrid w:val="0"/>
        </w:rPr>
        <w:t xml:space="preserve">A.S. Lawing and C. </w:t>
      </w:r>
      <w:proofErr w:type="spellStart"/>
      <w:r w:rsidR="00A46ACB">
        <w:rPr>
          <w:snapToGrid w:val="0"/>
        </w:rPr>
        <w:t>Juras</w:t>
      </w:r>
      <w:proofErr w:type="spellEnd"/>
      <w:r w:rsidR="00A46ACB">
        <w:rPr>
          <w:snapToGrid w:val="0"/>
        </w:rPr>
        <w:t xml:space="preserve">, </w:t>
      </w:r>
      <w:r w:rsidR="00A46ACB" w:rsidRPr="00A46ACB">
        <w:rPr>
          <w:i/>
          <w:snapToGrid w:val="0"/>
        </w:rPr>
        <w:t>Pad Surface Analysis and Conditioning Effects: Implications on Process Design, Break-in Response and Next Generation Pad and Conditioning Platforms</w:t>
      </w:r>
      <w:r w:rsidR="00A46ACB" w:rsidRPr="00A46ACB">
        <w:rPr>
          <w:snapToGrid w:val="0"/>
        </w:rPr>
        <w:t xml:space="preserve">, Proceedings - ICPT, International Conference on Planarization/CMP </w:t>
      </w:r>
      <w:proofErr w:type="gramStart"/>
      <w:r w:rsidR="00A46ACB" w:rsidRPr="00A46ACB">
        <w:rPr>
          <w:snapToGrid w:val="0"/>
        </w:rPr>
        <w:t>Technology :</w:t>
      </w:r>
      <w:proofErr w:type="gramEnd"/>
      <w:r w:rsidR="00A46ACB" w:rsidRPr="00A46ACB">
        <w:rPr>
          <w:snapToGrid w:val="0"/>
        </w:rPr>
        <w:t xml:space="preserve"> October 25 - 27, 2007, Dresden, Germany</w:t>
      </w:r>
      <w:r w:rsidR="00F1670E">
        <w:rPr>
          <w:snapToGrid w:val="0"/>
        </w:rPr>
        <w:t>.</w:t>
      </w:r>
    </w:p>
    <w:p w14:paraId="502F7699" w14:textId="77777777" w:rsidR="008F3F03" w:rsidRDefault="008F3F03">
      <w:pPr>
        <w:tabs>
          <w:tab w:val="left" w:pos="270"/>
        </w:tabs>
        <w:jc w:val="both"/>
      </w:pPr>
    </w:p>
    <w:p w14:paraId="28732902" w14:textId="025F897F" w:rsidR="00A400FB" w:rsidRDefault="00F1670E" w:rsidP="00A46ACB">
      <w:pPr>
        <w:tabs>
          <w:tab w:val="left" w:pos="270"/>
        </w:tabs>
        <w:ind w:left="270" w:hanging="270"/>
        <w:jc w:val="both"/>
      </w:pPr>
      <w:r>
        <w:t>[3]</w:t>
      </w:r>
      <w:r>
        <w:tab/>
      </w:r>
      <w:r w:rsidR="00A46ACB">
        <w:t xml:space="preserve">A.S. Lawing, </w:t>
      </w:r>
      <w:r w:rsidR="00A46ACB" w:rsidRPr="00A46ACB">
        <w:rPr>
          <w:i/>
        </w:rPr>
        <w:t>Pad and Conditioner Integration in CMP</w:t>
      </w:r>
      <w:r w:rsidR="00A46ACB">
        <w:t>, ICPT 2019, September 16-18, 2019, Hsinchu, Taiwan</w:t>
      </w:r>
      <w:r>
        <w:t>.</w:t>
      </w:r>
    </w:p>
    <w:p w14:paraId="78788576" w14:textId="77777777" w:rsidR="00F1670E" w:rsidRDefault="00F1670E" w:rsidP="00A46ACB">
      <w:pPr>
        <w:tabs>
          <w:tab w:val="left" w:pos="270"/>
        </w:tabs>
        <w:ind w:left="270" w:hanging="270"/>
        <w:jc w:val="both"/>
      </w:pPr>
    </w:p>
    <w:p w14:paraId="42A4FEDF" w14:textId="262A8A5B" w:rsidR="00F1670E" w:rsidRDefault="00F1670E" w:rsidP="00A46ACB">
      <w:pPr>
        <w:tabs>
          <w:tab w:val="left" w:pos="270"/>
        </w:tabs>
        <w:ind w:left="270" w:hanging="270"/>
        <w:jc w:val="both"/>
      </w:pPr>
      <w:r>
        <w:t>[4]</w:t>
      </w:r>
      <w:r>
        <w:tab/>
      </w:r>
      <w:r w:rsidRPr="00F1670E">
        <w:t>Cook, L.M., “CMP Consumables II: Pad”, Semiconductors and Semimetals, Vol. 63, Chapter 6, 155-181, 2000, Academic Press</w:t>
      </w:r>
      <w:r>
        <w:t>.</w:t>
      </w:r>
    </w:p>
    <w:p w14:paraId="3C056034" w14:textId="77777777" w:rsidR="00F1670E" w:rsidRDefault="00F1670E" w:rsidP="00A46ACB">
      <w:pPr>
        <w:tabs>
          <w:tab w:val="left" w:pos="270"/>
        </w:tabs>
        <w:ind w:left="270" w:hanging="270"/>
        <w:jc w:val="both"/>
      </w:pPr>
    </w:p>
    <w:p w14:paraId="35487FA3" w14:textId="490A87E6" w:rsidR="00F1670E" w:rsidRDefault="00F1670E" w:rsidP="00A46ACB">
      <w:pPr>
        <w:tabs>
          <w:tab w:val="left" w:pos="270"/>
        </w:tabs>
        <w:ind w:left="270" w:hanging="270"/>
        <w:jc w:val="both"/>
      </w:pPr>
      <w:r>
        <w:t>[5]</w:t>
      </w:r>
      <w:r>
        <w:tab/>
      </w:r>
      <w:r w:rsidRPr="00F1670E">
        <w:t xml:space="preserve">James, D, “Chemical-Mechanical Planarization of Semiconductor Materials”, M. Oliver </w:t>
      </w:r>
      <w:proofErr w:type="gramStart"/>
      <w:r w:rsidRPr="00F1670E">
        <w:t>ed</w:t>
      </w:r>
      <w:proofErr w:type="gramEnd"/>
      <w:r w:rsidRPr="00F1670E">
        <w:t>, p</w:t>
      </w:r>
      <w:r>
        <w:t>p</w:t>
      </w:r>
      <w:r w:rsidRPr="00F1670E">
        <w:t>. 17</w:t>
      </w:r>
      <w:r>
        <w:t>2-180.</w:t>
      </w:r>
    </w:p>
    <w:p w14:paraId="2598BC17" w14:textId="77777777" w:rsidR="00741CC1" w:rsidRDefault="00741CC1" w:rsidP="00A46ACB">
      <w:pPr>
        <w:tabs>
          <w:tab w:val="left" w:pos="270"/>
        </w:tabs>
        <w:ind w:left="270" w:hanging="270"/>
        <w:jc w:val="both"/>
      </w:pPr>
    </w:p>
    <w:p w14:paraId="65225D4D" w14:textId="77777777" w:rsidR="00741CC1" w:rsidRDefault="00741CC1" w:rsidP="00741CC1">
      <w:pPr>
        <w:tabs>
          <w:tab w:val="left" w:pos="270"/>
        </w:tabs>
        <w:jc w:val="both"/>
        <w:rPr>
          <w:smallCaps/>
        </w:rPr>
      </w:pPr>
      <w:r>
        <w:rPr>
          <w:smallCaps/>
        </w:rPr>
        <w:t>Acronyms</w:t>
      </w:r>
    </w:p>
    <w:p w14:paraId="72624C47" w14:textId="77777777" w:rsidR="00741CC1" w:rsidRDefault="00741CC1" w:rsidP="00741CC1">
      <w:pPr>
        <w:tabs>
          <w:tab w:val="left" w:pos="270"/>
        </w:tabs>
        <w:jc w:val="both"/>
        <w:rPr>
          <w:smallCaps/>
        </w:rPr>
      </w:pPr>
    </w:p>
    <w:p w14:paraId="6F748BC1" w14:textId="40F0BF45" w:rsidR="00741CC1" w:rsidRDefault="00741CC1" w:rsidP="00A46ACB">
      <w:pPr>
        <w:tabs>
          <w:tab w:val="left" w:pos="270"/>
        </w:tabs>
        <w:ind w:left="270" w:hanging="270"/>
        <w:jc w:val="both"/>
      </w:pPr>
      <w:r>
        <w:t>CMP – Chemical Mechanical Polishing</w:t>
      </w:r>
    </w:p>
    <w:p w14:paraId="55F5F780" w14:textId="50222E20" w:rsidR="002B16E7" w:rsidRDefault="002B16E7" w:rsidP="00A46ACB">
      <w:pPr>
        <w:tabs>
          <w:tab w:val="left" w:pos="270"/>
        </w:tabs>
        <w:ind w:left="270" w:hanging="270"/>
        <w:jc w:val="both"/>
      </w:pPr>
      <w:proofErr w:type="spellStart"/>
      <w:proofErr w:type="gramStart"/>
      <w:r>
        <w:t>hwhm</w:t>
      </w:r>
      <w:proofErr w:type="spellEnd"/>
      <w:proofErr w:type="gramEnd"/>
      <w:r>
        <w:t xml:space="preserve"> – half-width-half-maximum</w:t>
      </w:r>
    </w:p>
    <w:sectPr w:rsidR="002B16E7"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3C4DA" w14:textId="77777777" w:rsidR="00226091" w:rsidRDefault="00226091" w:rsidP="00AF10DF">
      <w:r>
        <w:separator/>
      </w:r>
    </w:p>
  </w:endnote>
  <w:endnote w:type="continuationSeparator" w:id="0">
    <w:p w14:paraId="20AED62C" w14:textId="77777777" w:rsidR="00226091" w:rsidRDefault="00226091"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E982A" w14:textId="77777777" w:rsidR="00AF10DF" w:rsidRDefault="00AF10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45DE5" w14:textId="77777777" w:rsidR="00AF10DF" w:rsidRDefault="00AF10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62424" w14:textId="77777777" w:rsidR="00AF10DF" w:rsidRDefault="00AF10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E3F05" w14:textId="77777777" w:rsidR="00226091" w:rsidRDefault="00226091" w:rsidP="00AF10DF">
      <w:r>
        <w:separator/>
      </w:r>
    </w:p>
  </w:footnote>
  <w:footnote w:type="continuationSeparator" w:id="0">
    <w:p w14:paraId="54420FEF" w14:textId="77777777" w:rsidR="00226091" w:rsidRDefault="00226091" w:rsidP="00AF1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0C1E4" w14:textId="77777777" w:rsidR="00AF10DF" w:rsidRDefault="00AF10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96ADC" w14:textId="77777777" w:rsidR="00AF10DF" w:rsidRDefault="00AF10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8E99" w14:textId="77777777" w:rsidR="00AF10DF" w:rsidRDefault="00AF10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83"/>
    <w:rsid w:val="00011A9E"/>
    <w:rsid w:val="000172A3"/>
    <w:rsid w:val="00027B2C"/>
    <w:rsid w:val="0003400E"/>
    <w:rsid w:val="00064767"/>
    <w:rsid w:val="00066FE3"/>
    <w:rsid w:val="000A508D"/>
    <w:rsid w:val="000A73FF"/>
    <w:rsid w:val="000B14D9"/>
    <w:rsid w:val="000B2E9C"/>
    <w:rsid w:val="000D02F5"/>
    <w:rsid w:val="000F2B1F"/>
    <w:rsid w:val="0012494C"/>
    <w:rsid w:val="00195E2D"/>
    <w:rsid w:val="001A27BC"/>
    <w:rsid w:val="001A28E9"/>
    <w:rsid w:val="001D54A3"/>
    <w:rsid w:val="001F25EB"/>
    <w:rsid w:val="0020746A"/>
    <w:rsid w:val="00220FC6"/>
    <w:rsid w:val="00226091"/>
    <w:rsid w:val="0024185A"/>
    <w:rsid w:val="0027264E"/>
    <w:rsid w:val="00284095"/>
    <w:rsid w:val="002B16E7"/>
    <w:rsid w:val="002B6174"/>
    <w:rsid w:val="002B7BE4"/>
    <w:rsid w:val="003070E9"/>
    <w:rsid w:val="00307926"/>
    <w:rsid w:val="00355256"/>
    <w:rsid w:val="003A2692"/>
    <w:rsid w:val="003E5FE7"/>
    <w:rsid w:val="00401E81"/>
    <w:rsid w:val="0041013C"/>
    <w:rsid w:val="00422948"/>
    <w:rsid w:val="00427DB4"/>
    <w:rsid w:val="00460CBC"/>
    <w:rsid w:val="00496C8D"/>
    <w:rsid w:val="004A08F5"/>
    <w:rsid w:val="004A7574"/>
    <w:rsid w:val="004E2E3A"/>
    <w:rsid w:val="00507E06"/>
    <w:rsid w:val="005217EE"/>
    <w:rsid w:val="00544B34"/>
    <w:rsid w:val="00545A2B"/>
    <w:rsid w:val="00573E4B"/>
    <w:rsid w:val="00576D07"/>
    <w:rsid w:val="005801DB"/>
    <w:rsid w:val="005A1300"/>
    <w:rsid w:val="005B59A8"/>
    <w:rsid w:val="005C4E10"/>
    <w:rsid w:val="00601F3A"/>
    <w:rsid w:val="006200D7"/>
    <w:rsid w:val="00627E52"/>
    <w:rsid w:val="006949C7"/>
    <w:rsid w:val="006B0742"/>
    <w:rsid w:val="006F069B"/>
    <w:rsid w:val="007002C9"/>
    <w:rsid w:val="00704422"/>
    <w:rsid w:val="0071738D"/>
    <w:rsid w:val="00741CC1"/>
    <w:rsid w:val="00785D76"/>
    <w:rsid w:val="00792ED1"/>
    <w:rsid w:val="00797324"/>
    <w:rsid w:val="007A21F4"/>
    <w:rsid w:val="007A3918"/>
    <w:rsid w:val="007A44D5"/>
    <w:rsid w:val="007C7EBB"/>
    <w:rsid w:val="007F17E6"/>
    <w:rsid w:val="007F48FC"/>
    <w:rsid w:val="00821A85"/>
    <w:rsid w:val="0082462F"/>
    <w:rsid w:val="00836849"/>
    <w:rsid w:val="008436ED"/>
    <w:rsid w:val="00843ACE"/>
    <w:rsid w:val="00852DDB"/>
    <w:rsid w:val="0087441C"/>
    <w:rsid w:val="008A1F68"/>
    <w:rsid w:val="008A447A"/>
    <w:rsid w:val="008E1AAB"/>
    <w:rsid w:val="008F3F03"/>
    <w:rsid w:val="0091321A"/>
    <w:rsid w:val="00920CBA"/>
    <w:rsid w:val="009268C9"/>
    <w:rsid w:val="00956AE1"/>
    <w:rsid w:val="00991A83"/>
    <w:rsid w:val="009A5080"/>
    <w:rsid w:val="009B30EE"/>
    <w:rsid w:val="009E039D"/>
    <w:rsid w:val="00A174AD"/>
    <w:rsid w:val="00A21A91"/>
    <w:rsid w:val="00A400FB"/>
    <w:rsid w:val="00A46ACB"/>
    <w:rsid w:val="00A550C7"/>
    <w:rsid w:val="00A62752"/>
    <w:rsid w:val="00AA5F15"/>
    <w:rsid w:val="00AB18C8"/>
    <w:rsid w:val="00AB2D10"/>
    <w:rsid w:val="00AE3663"/>
    <w:rsid w:val="00AE4520"/>
    <w:rsid w:val="00AF10DF"/>
    <w:rsid w:val="00AF4888"/>
    <w:rsid w:val="00B02354"/>
    <w:rsid w:val="00B336A4"/>
    <w:rsid w:val="00BA2926"/>
    <w:rsid w:val="00BC2B5E"/>
    <w:rsid w:val="00BF407D"/>
    <w:rsid w:val="00BF71AC"/>
    <w:rsid w:val="00C40B32"/>
    <w:rsid w:val="00C640DA"/>
    <w:rsid w:val="00C6732F"/>
    <w:rsid w:val="00C76BA0"/>
    <w:rsid w:val="00C81539"/>
    <w:rsid w:val="00C9272A"/>
    <w:rsid w:val="00CB5AD4"/>
    <w:rsid w:val="00CC53DA"/>
    <w:rsid w:val="00CC678A"/>
    <w:rsid w:val="00CC72AF"/>
    <w:rsid w:val="00CD107D"/>
    <w:rsid w:val="00CE56C4"/>
    <w:rsid w:val="00CE6C91"/>
    <w:rsid w:val="00CF405E"/>
    <w:rsid w:val="00CF70F8"/>
    <w:rsid w:val="00D03658"/>
    <w:rsid w:val="00D20E04"/>
    <w:rsid w:val="00DA0432"/>
    <w:rsid w:val="00DC4F5D"/>
    <w:rsid w:val="00DD4E9C"/>
    <w:rsid w:val="00E05951"/>
    <w:rsid w:val="00E07364"/>
    <w:rsid w:val="00E51727"/>
    <w:rsid w:val="00E61BB9"/>
    <w:rsid w:val="00E634DB"/>
    <w:rsid w:val="00E93215"/>
    <w:rsid w:val="00EA5FFE"/>
    <w:rsid w:val="00EB0124"/>
    <w:rsid w:val="00EB3A24"/>
    <w:rsid w:val="00EB478F"/>
    <w:rsid w:val="00EB6B10"/>
    <w:rsid w:val="00EB7182"/>
    <w:rsid w:val="00ED62A1"/>
    <w:rsid w:val="00EE00A4"/>
    <w:rsid w:val="00EE6813"/>
    <w:rsid w:val="00F05EBE"/>
    <w:rsid w:val="00F06783"/>
    <w:rsid w:val="00F1670E"/>
    <w:rsid w:val="00F3154C"/>
    <w:rsid w:val="00F64767"/>
    <w:rsid w:val="00F65950"/>
    <w:rsid w:val="00F953F7"/>
    <w:rsid w:val="00FC19CF"/>
    <w:rsid w:val="00FC31A6"/>
    <w:rsid w:val="00FF21B5"/>
    <w:rsid w:val="00FF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styleId="NormalWeb">
    <w:name w:val="Normal (Web)"/>
    <w:basedOn w:val="Normal"/>
    <w:uiPriority w:val="99"/>
    <w:semiHidden/>
    <w:unhideWhenUsed/>
    <w:rsid w:val="00741CC1"/>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styleId="NormalWeb">
    <w:name w:val="Normal (Web)"/>
    <w:basedOn w:val="Normal"/>
    <w:uiPriority w:val="99"/>
    <w:semiHidden/>
    <w:unhideWhenUsed/>
    <w:rsid w:val="00741CC1"/>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yperlink" Target="mailto:slawing@kinikna.com"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A7CEC3-15E5-4A6A-9B9E-0E162E635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1901</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2020-02-19T02:49:00Z</dcterms:created>
  <dcterms:modified xsi:type="dcterms:W3CDTF">2020-02-21T18:45:00Z</dcterms:modified>
</cp:coreProperties>
</file>