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AC11D" w14:textId="7835E226" w:rsidR="008F3F03" w:rsidRDefault="00175196">
      <w:pPr>
        <w:pStyle w:val="BodyText"/>
        <w:jc w:val="center"/>
      </w:pPr>
      <w:r w:rsidRPr="00175196">
        <w:t>Integration of GaN Power ICs on 200 mm Engineered Substrates</w:t>
      </w:r>
      <w:r w:rsidR="00CC72AF">
        <w:t xml:space="preserve"> </w:t>
      </w:r>
    </w:p>
    <w:p w14:paraId="37AF5E36" w14:textId="77777777" w:rsidR="008F3F03" w:rsidRDefault="008F3F03">
      <w:pPr>
        <w:jc w:val="center"/>
        <w:rPr>
          <w:b/>
          <w:sz w:val="28"/>
        </w:rPr>
      </w:pPr>
    </w:p>
    <w:p w14:paraId="7B70A150" w14:textId="505A2582" w:rsidR="00CC72AF" w:rsidRPr="00CC72AF" w:rsidRDefault="00175196" w:rsidP="00175196">
      <w:pPr>
        <w:pStyle w:val="Heading1"/>
        <w:jc w:val="center"/>
      </w:pPr>
      <w:r w:rsidRPr="00175196">
        <w:t>Xiangdong Li</w:t>
      </w:r>
      <w:r w:rsidRPr="00175196">
        <w:rPr>
          <w:vertAlign w:val="superscript"/>
        </w:rPr>
        <w:t xml:space="preserve">1,2*, </w:t>
      </w:r>
      <w:r w:rsidRPr="00175196">
        <w:t>Karen Geens</w:t>
      </w:r>
      <w:r w:rsidRPr="00175196">
        <w:rPr>
          <w:vertAlign w:val="superscript"/>
        </w:rPr>
        <w:t>1</w:t>
      </w:r>
      <w:r w:rsidRPr="00175196">
        <w:t>, Dirk Wellekens</w:t>
      </w:r>
      <w:r w:rsidRPr="00175196">
        <w:rPr>
          <w:vertAlign w:val="superscript"/>
        </w:rPr>
        <w:t>1</w:t>
      </w:r>
      <w:r w:rsidRPr="00175196">
        <w:t>, Ming Zhao</w:t>
      </w:r>
      <w:r w:rsidRPr="00175196">
        <w:rPr>
          <w:vertAlign w:val="superscript"/>
        </w:rPr>
        <w:t>1</w:t>
      </w:r>
      <w:r w:rsidRPr="00175196">
        <w:t>, Alessandro Magnani</w:t>
      </w:r>
      <w:r w:rsidRPr="00175196">
        <w:rPr>
          <w:vertAlign w:val="superscript"/>
        </w:rPr>
        <w:t>1</w:t>
      </w:r>
      <w:r w:rsidRPr="00175196">
        <w:t>, Nooshin Amirifar</w:t>
      </w:r>
      <w:r w:rsidRPr="00175196">
        <w:rPr>
          <w:vertAlign w:val="superscript"/>
        </w:rPr>
        <w:t>1</w:t>
      </w:r>
      <w:r w:rsidRPr="00175196">
        <w:t>, Benoit</w:t>
      </w:r>
      <w:r>
        <w:t xml:space="preserve"> Bakeroot</w:t>
      </w:r>
      <w:r w:rsidRPr="00175196">
        <w:rPr>
          <w:vertAlign w:val="superscript"/>
        </w:rPr>
        <w:t>1</w:t>
      </w:r>
      <w:r>
        <w:t>, Shuzhen You</w:t>
      </w:r>
      <w:r w:rsidRPr="00175196">
        <w:rPr>
          <w:vertAlign w:val="superscript"/>
        </w:rPr>
        <w:t>1</w:t>
      </w:r>
      <w:r>
        <w:t>, Dirk Fahle</w:t>
      </w:r>
      <w:r w:rsidRPr="00175196">
        <w:rPr>
          <w:vertAlign w:val="superscript"/>
        </w:rPr>
        <w:t>3</w:t>
      </w:r>
      <w:r>
        <w:t>, Herwig Hahn</w:t>
      </w:r>
      <w:r w:rsidRPr="00175196">
        <w:rPr>
          <w:vertAlign w:val="superscript"/>
        </w:rPr>
        <w:t>3</w:t>
      </w:r>
      <w:r>
        <w:t>, Michael Heuken</w:t>
      </w:r>
      <w:r w:rsidRPr="00175196">
        <w:rPr>
          <w:vertAlign w:val="superscript"/>
        </w:rPr>
        <w:t>3</w:t>
      </w:r>
      <w:r>
        <w:t>, Vlad Odnoblyudov</w:t>
      </w:r>
      <w:r w:rsidRPr="00175196">
        <w:rPr>
          <w:vertAlign w:val="superscript"/>
        </w:rPr>
        <w:t>4</w:t>
      </w:r>
      <w:r>
        <w:t xml:space="preserve">, </w:t>
      </w:r>
      <w:proofErr w:type="spellStart"/>
      <w:r>
        <w:t>Ozgur</w:t>
      </w:r>
      <w:proofErr w:type="spellEnd"/>
      <w:r>
        <w:t xml:space="preserve"> Aktas</w:t>
      </w:r>
      <w:r w:rsidRPr="00175196">
        <w:rPr>
          <w:vertAlign w:val="superscript"/>
        </w:rPr>
        <w:t>4</w:t>
      </w:r>
      <w:r>
        <w:t>, Cem Basceri</w:t>
      </w:r>
      <w:r w:rsidRPr="00175196">
        <w:rPr>
          <w:vertAlign w:val="superscript"/>
        </w:rPr>
        <w:t>4</w:t>
      </w:r>
      <w:r>
        <w:t>, Denis Marcon</w:t>
      </w:r>
      <w:r w:rsidRPr="00175196">
        <w:rPr>
          <w:vertAlign w:val="superscript"/>
        </w:rPr>
        <w:t>1</w:t>
      </w:r>
      <w:r>
        <w:t>, Guido Groeseneken</w:t>
      </w:r>
      <w:r w:rsidRPr="00175196">
        <w:rPr>
          <w:vertAlign w:val="superscript"/>
        </w:rPr>
        <w:t>1,2</w:t>
      </w:r>
      <w:r>
        <w:t>, and Stefaan Decoutere</w:t>
      </w:r>
      <w:r w:rsidRPr="00175196">
        <w:rPr>
          <w:vertAlign w:val="superscript"/>
        </w:rPr>
        <w:t>1</w:t>
      </w:r>
    </w:p>
    <w:p w14:paraId="5F29A599" w14:textId="77777777" w:rsidR="008F3F03" w:rsidRDefault="008F3F03">
      <w:pPr>
        <w:jc w:val="center"/>
        <w:rPr>
          <w:sz w:val="24"/>
        </w:rPr>
      </w:pPr>
    </w:p>
    <w:p w14:paraId="0EF9049B" w14:textId="4DBAFEE4" w:rsidR="00CB1545" w:rsidRDefault="00CC72AF" w:rsidP="00CB1545">
      <w:pPr>
        <w:jc w:val="center"/>
        <w:rPr>
          <w:color w:val="000000" w:themeColor="text1"/>
        </w:rPr>
      </w:pPr>
      <w:r w:rsidRPr="00CC72AF">
        <w:rPr>
          <w:color w:val="000000" w:themeColor="text1"/>
          <w:vertAlign w:val="superscript"/>
        </w:rPr>
        <w:t>1</w:t>
      </w:r>
      <w:r w:rsidR="00CB1545" w:rsidRPr="00CB1545">
        <w:rPr>
          <w:color w:val="000000" w:themeColor="text1"/>
        </w:rPr>
        <w:t>imec, Leuven 3001, Belgium, *E-mail: Xiangdong.Li@imec.be, Phone: +3216283047</w:t>
      </w:r>
    </w:p>
    <w:p w14:paraId="07EB794E" w14:textId="0121F678" w:rsidR="00CB1545" w:rsidRPr="00CB1545" w:rsidRDefault="00CB1545" w:rsidP="00CB1545">
      <w:pPr>
        <w:jc w:val="center"/>
        <w:rPr>
          <w:color w:val="000000" w:themeColor="text1"/>
        </w:rPr>
      </w:pPr>
      <w:r w:rsidRPr="00CB1545">
        <w:rPr>
          <w:color w:val="000000" w:themeColor="text1"/>
          <w:vertAlign w:val="superscript"/>
        </w:rPr>
        <w:t>2</w:t>
      </w:r>
      <w:r w:rsidRPr="00CB1545">
        <w:rPr>
          <w:color w:val="000000" w:themeColor="text1"/>
        </w:rPr>
        <w:t>Department of Electrical Engineering (ESAT), KU Leuven, Leuven 3001, Belgium</w:t>
      </w:r>
    </w:p>
    <w:p w14:paraId="6F9951C4" w14:textId="77777777" w:rsidR="00CB1545" w:rsidRPr="00CB1545" w:rsidRDefault="00CB1545" w:rsidP="00CB1545">
      <w:pPr>
        <w:jc w:val="center"/>
        <w:rPr>
          <w:color w:val="000000" w:themeColor="text1"/>
        </w:rPr>
      </w:pPr>
      <w:r w:rsidRPr="00CB1545">
        <w:rPr>
          <w:color w:val="000000" w:themeColor="text1"/>
          <w:vertAlign w:val="superscript"/>
        </w:rPr>
        <w:t>3</w:t>
      </w:r>
      <w:r w:rsidRPr="00CB1545">
        <w:rPr>
          <w:color w:val="000000" w:themeColor="text1"/>
        </w:rPr>
        <w:t xml:space="preserve">AIXTRON SE, D-52134 </w:t>
      </w:r>
      <w:proofErr w:type="spellStart"/>
      <w:r w:rsidRPr="00CB1545">
        <w:rPr>
          <w:color w:val="000000" w:themeColor="text1"/>
        </w:rPr>
        <w:t>Herzogenrath</w:t>
      </w:r>
      <w:proofErr w:type="spellEnd"/>
      <w:r w:rsidRPr="00CB1545">
        <w:rPr>
          <w:color w:val="000000" w:themeColor="text1"/>
        </w:rPr>
        <w:t>, Germany</w:t>
      </w:r>
    </w:p>
    <w:p w14:paraId="6CA94777" w14:textId="39F463B1" w:rsidR="00CC72AF" w:rsidRDefault="00CB1545" w:rsidP="00CB1545">
      <w:pPr>
        <w:jc w:val="center"/>
      </w:pPr>
      <w:r w:rsidRPr="00CB1545">
        <w:rPr>
          <w:color w:val="000000" w:themeColor="text1"/>
          <w:vertAlign w:val="superscript"/>
        </w:rPr>
        <w:t>4</w:t>
      </w:r>
      <w:r w:rsidRPr="00CB1545">
        <w:rPr>
          <w:color w:val="000000" w:themeColor="text1"/>
        </w:rPr>
        <w:t xml:space="preserve">Qromis, </w:t>
      </w:r>
      <w:proofErr w:type="spellStart"/>
      <w:r w:rsidRPr="00CB1545">
        <w:rPr>
          <w:color w:val="000000" w:themeColor="text1"/>
        </w:rPr>
        <w:t>inc.</w:t>
      </w:r>
      <w:proofErr w:type="spellEnd"/>
      <w:r w:rsidRPr="00CB1545">
        <w:rPr>
          <w:color w:val="000000" w:themeColor="text1"/>
        </w:rPr>
        <w:t>, Santa Clara, CA, US</w:t>
      </w:r>
    </w:p>
    <w:p w14:paraId="5BCA4F22" w14:textId="77777777" w:rsidR="008F3F03" w:rsidRDefault="008F3F03">
      <w:pPr>
        <w:jc w:val="center"/>
      </w:pPr>
    </w:p>
    <w:p w14:paraId="7B4AB05A" w14:textId="72B90683" w:rsidR="008F3F03" w:rsidRDefault="008F3F03">
      <w:pPr>
        <w:pStyle w:val="Heading2"/>
        <w:tabs>
          <w:tab w:val="left" w:pos="270"/>
        </w:tabs>
        <w:rPr>
          <w:b/>
          <w:smallCaps w:val="0"/>
        </w:rPr>
      </w:pPr>
      <w:r>
        <w:rPr>
          <w:b/>
          <w:smallCaps w:val="0"/>
        </w:rPr>
        <w:t xml:space="preserve">Keywords: </w:t>
      </w:r>
      <w:r w:rsidR="00965C49">
        <w:rPr>
          <w:b/>
          <w:smallCaps w:val="0"/>
        </w:rPr>
        <w:t>GaN, HEMTs, Power ICs, Engineered Substrates</w:t>
      </w:r>
    </w:p>
    <w:p w14:paraId="7B5C6733" w14:textId="77777777" w:rsidR="008F3F03" w:rsidRDefault="008F3F03"/>
    <w:p w14:paraId="22F00F22" w14:textId="77777777" w:rsidR="008F3F03" w:rsidRDefault="008F3F03">
      <w:pPr>
        <w:pStyle w:val="CommentText"/>
        <w:sectPr w:rsidR="008F3F03">
          <w:headerReference w:type="even" r:id="rId8"/>
          <w:headerReference w:type="default" r:id="rId9"/>
          <w:footerReference w:type="even" r:id="rId10"/>
          <w:footerReference w:type="default" r:id="rId11"/>
          <w:headerReference w:type="first" r:id="rId12"/>
          <w:footerReference w:type="first" r:id="rId13"/>
          <w:pgSz w:w="12240" w:h="15840" w:code="1"/>
          <w:pgMar w:top="1440" w:right="1008" w:bottom="1440" w:left="1008" w:header="720" w:footer="720" w:gutter="0"/>
          <w:paperSrc w:first="1" w:other="1"/>
          <w:cols w:space="720"/>
        </w:sectPr>
      </w:pPr>
    </w:p>
    <w:p w14:paraId="6E814BB6" w14:textId="11DA1C64" w:rsidR="008F3F03" w:rsidRDefault="008F3F03">
      <w:pPr>
        <w:pStyle w:val="Heading2"/>
        <w:tabs>
          <w:tab w:val="left" w:pos="270"/>
        </w:tabs>
        <w:rPr>
          <w:b/>
          <w:smallCaps w:val="0"/>
        </w:rPr>
      </w:pPr>
      <w:r>
        <w:rPr>
          <w:b/>
          <w:smallCaps w:val="0"/>
        </w:rPr>
        <w:t>Abstract</w:t>
      </w:r>
    </w:p>
    <w:p w14:paraId="17F5384C" w14:textId="7FADF2FC" w:rsidR="00F57363" w:rsidRDefault="007A21F4" w:rsidP="00F57363">
      <w:pPr>
        <w:pStyle w:val="BodyText2"/>
        <w:tabs>
          <w:tab w:val="left" w:pos="270"/>
        </w:tabs>
      </w:pPr>
      <w:r>
        <w:rPr>
          <w:b/>
        </w:rPr>
        <w:tab/>
      </w:r>
      <w:r w:rsidR="00F13EB9">
        <w:rPr>
          <w:b/>
        </w:rPr>
        <w:t>GaN power ICs on engineered substrates</w:t>
      </w:r>
      <w:r w:rsidR="002A5750">
        <w:rPr>
          <w:b/>
        </w:rPr>
        <w:t xml:space="preserve"> of</w:t>
      </w:r>
      <w:r w:rsidR="007D08DF">
        <w:rPr>
          <w:b/>
        </w:rPr>
        <w:t xml:space="preserve"> </w:t>
      </w:r>
      <w:proofErr w:type="spellStart"/>
      <w:r w:rsidR="007D08DF" w:rsidRPr="007D08DF">
        <w:rPr>
          <w:b/>
        </w:rPr>
        <w:t>Qromis</w:t>
      </w:r>
      <w:proofErr w:type="spellEnd"/>
      <w:r w:rsidR="007D08DF" w:rsidRPr="007D08DF">
        <w:rPr>
          <w:b/>
        </w:rPr>
        <w:t xml:space="preserve"> substrate technology</w:t>
      </w:r>
      <w:r w:rsidR="007D08DF" w:rsidRPr="007D08DF">
        <w:rPr>
          <w:b/>
        </w:rPr>
        <w:t xml:space="preserve"> (</w:t>
      </w:r>
      <w:r w:rsidR="002A5750" w:rsidRPr="007D08DF">
        <w:rPr>
          <w:b/>
        </w:rPr>
        <w:t>QST</w:t>
      </w:r>
      <w:r w:rsidR="002A5750" w:rsidRPr="007D08DF">
        <w:rPr>
          <w:b/>
          <w:vertAlign w:val="superscript"/>
        </w:rPr>
        <w:t>®</w:t>
      </w:r>
      <w:r w:rsidR="007D08DF">
        <w:rPr>
          <w:b/>
        </w:rPr>
        <w:t xml:space="preserve">) </w:t>
      </w:r>
      <w:r w:rsidR="002A5750">
        <w:rPr>
          <w:b/>
        </w:rPr>
        <w:t>are promising for future power application</w:t>
      </w:r>
      <w:r w:rsidR="00EF124E">
        <w:rPr>
          <w:b/>
        </w:rPr>
        <w:t>s</w:t>
      </w:r>
      <w:r w:rsidR="002A5750">
        <w:rPr>
          <w:b/>
        </w:rPr>
        <w:t xml:space="preserve"> thanks to the reduced </w:t>
      </w:r>
      <w:proofErr w:type="spellStart"/>
      <w:r w:rsidR="002A5750">
        <w:rPr>
          <w:b/>
        </w:rPr>
        <w:t>parasitics</w:t>
      </w:r>
      <w:proofErr w:type="spellEnd"/>
      <w:r w:rsidR="002A5750">
        <w:rPr>
          <w:b/>
        </w:rPr>
        <w:t>, thermally matched substrate of poly-</w:t>
      </w:r>
      <w:proofErr w:type="spellStart"/>
      <w:r w:rsidR="002A5750">
        <w:rPr>
          <w:b/>
        </w:rPr>
        <w:t>AlN</w:t>
      </w:r>
      <w:proofErr w:type="spellEnd"/>
      <w:r w:rsidR="002A5750">
        <w:rPr>
          <w:b/>
        </w:rPr>
        <w:t>, high th</w:t>
      </w:r>
      <w:r w:rsidR="000D1C2B">
        <w:rPr>
          <w:b/>
        </w:rPr>
        <w:t>e</w:t>
      </w:r>
      <w:r w:rsidR="002A5750">
        <w:rPr>
          <w:b/>
        </w:rPr>
        <w:t>rmal conductivity,</w:t>
      </w:r>
      <w:r w:rsidR="00DE44C8">
        <w:rPr>
          <w:b/>
        </w:rPr>
        <w:t xml:space="preserve"> </w:t>
      </w:r>
      <w:r w:rsidR="00B03990">
        <w:rPr>
          <w:b/>
        </w:rPr>
        <w:t>high mechanical yield in combination with</w:t>
      </w:r>
      <w:r w:rsidR="00DE44C8">
        <w:rPr>
          <w:b/>
        </w:rPr>
        <w:t xml:space="preserve"> thick </w:t>
      </w:r>
      <w:r w:rsidR="00B03990">
        <w:rPr>
          <w:b/>
        </w:rPr>
        <w:t xml:space="preserve">GaN buffer </w:t>
      </w:r>
      <w:r w:rsidR="00DE44C8">
        <w:rPr>
          <w:b/>
        </w:rPr>
        <w:t>layer</w:t>
      </w:r>
      <w:r w:rsidR="00B03990">
        <w:rPr>
          <w:b/>
        </w:rPr>
        <w:t>s</w:t>
      </w:r>
      <w:r w:rsidR="002A5750">
        <w:rPr>
          <w:b/>
        </w:rPr>
        <w:t>.</w:t>
      </w:r>
      <w:r w:rsidR="000D1C2B">
        <w:rPr>
          <w:b/>
        </w:rPr>
        <w:t xml:space="preserve"> In this work, we will elaborate </w:t>
      </w:r>
      <w:r w:rsidR="00B03990">
        <w:rPr>
          <w:b/>
        </w:rPr>
        <w:t>in detail on</w:t>
      </w:r>
      <w:r w:rsidR="004B4E0E">
        <w:rPr>
          <w:b/>
        </w:rPr>
        <w:t xml:space="preserve"> epitaxy, integration,</w:t>
      </w:r>
      <w:r w:rsidR="00224AE2">
        <w:rPr>
          <w:b/>
        </w:rPr>
        <w:t xml:space="preserve"> and trench isolation. Electrical characterizations</w:t>
      </w:r>
      <w:r w:rsidR="00F57363">
        <w:rPr>
          <w:b/>
        </w:rPr>
        <w:t xml:space="preserve"> show that th</w:t>
      </w:r>
      <w:r w:rsidR="00F57363" w:rsidRPr="00F57363">
        <w:rPr>
          <w:b/>
        </w:rPr>
        <w:t>e GaN buffer bear a breakdown voltage of &gt; 650 V under the</w:t>
      </w:r>
      <w:r w:rsidR="007D08DF">
        <w:rPr>
          <w:b/>
        </w:rPr>
        <w:t xml:space="preserve"> criterion</w:t>
      </w:r>
      <w:r w:rsidR="0097218E">
        <w:rPr>
          <w:b/>
        </w:rPr>
        <w:t xml:space="preserve"> </w:t>
      </w:r>
      <w:r w:rsidR="00F57363" w:rsidRPr="00F57363">
        <w:rPr>
          <w:b/>
        </w:rPr>
        <w:t xml:space="preserve">of 10 </w:t>
      </w:r>
      <w:proofErr w:type="spellStart"/>
      <w:r w:rsidR="00F57363" w:rsidRPr="00F57363">
        <w:rPr>
          <w:b/>
        </w:rPr>
        <w:t>μA</w:t>
      </w:r>
      <w:proofErr w:type="spellEnd"/>
      <w:r w:rsidR="00F57363" w:rsidRPr="00F57363">
        <w:rPr>
          <w:b/>
        </w:rPr>
        <w:t>/mm</w:t>
      </w:r>
      <w:r w:rsidR="00F57363" w:rsidRPr="00F57363">
        <w:rPr>
          <w:b/>
          <w:vertAlign w:val="superscript"/>
        </w:rPr>
        <w:t>2</w:t>
      </w:r>
      <w:r w:rsidR="00F57363" w:rsidRPr="00F57363">
        <w:rPr>
          <w:b/>
        </w:rPr>
        <w:t xml:space="preserve"> leakage current at 150 °C. The fabricated 36 mm power HEMTs with </w:t>
      </w:r>
      <w:r w:rsidR="00F57363" w:rsidRPr="00F57363">
        <w:rPr>
          <w:b/>
          <w:i/>
          <w:iCs/>
        </w:rPr>
        <w:t>L</w:t>
      </w:r>
      <w:r w:rsidR="00F57363" w:rsidRPr="00F57363">
        <w:rPr>
          <w:b/>
          <w:vertAlign w:val="subscript"/>
        </w:rPr>
        <w:t>GD</w:t>
      </w:r>
      <w:r w:rsidR="00F57363" w:rsidRPr="00F57363">
        <w:rPr>
          <w:b/>
        </w:rPr>
        <w:t xml:space="preserve"> of 16 µm show a high threshold voltage of 3.1 V and a low OFF-state drain leakage of &lt;1 µA/mm until 650 V. The horizontal trench isolation breakdown voltage exceeds 850 V. The device dispersion is well controlled within 20% over full temperature and bias range. Finally,</w:t>
      </w:r>
      <w:r w:rsidR="000B7708">
        <w:rPr>
          <w:b/>
        </w:rPr>
        <w:t xml:space="preserve"> </w:t>
      </w:r>
      <w:r w:rsidR="00F57363" w:rsidRPr="00F57363">
        <w:rPr>
          <w:b/>
        </w:rPr>
        <w:t xml:space="preserve">GaN power ICs on this platform </w:t>
      </w:r>
      <w:r w:rsidR="000B7708">
        <w:rPr>
          <w:rFonts w:hint="eastAsia"/>
          <w:b/>
          <w:lang w:eastAsia="zh-CN"/>
        </w:rPr>
        <w:t>are</w:t>
      </w:r>
      <w:r w:rsidR="00F57363" w:rsidRPr="00F57363">
        <w:rPr>
          <w:b/>
        </w:rPr>
        <w:t xml:space="preserve"> demonstrated.</w:t>
      </w:r>
    </w:p>
    <w:p w14:paraId="71428671" w14:textId="357D7501" w:rsidR="008F3F03" w:rsidRDefault="008F3F03">
      <w:pPr>
        <w:pStyle w:val="BodyText2"/>
        <w:tabs>
          <w:tab w:val="left" w:pos="270"/>
        </w:tabs>
        <w:rPr>
          <w:b/>
        </w:rPr>
      </w:pPr>
    </w:p>
    <w:p w14:paraId="202C8AAC" w14:textId="77777777" w:rsidR="008F3F03" w:rsidRDefault="008F3F03">
      <w:pPr>
        <w:pStyle w:val="BodyText2"/>
        <w:rPr>
          <w:b/>
        </w:rPr>
      </w:pPr>
    </w:p>
    <w:p w14:paraId="67D0B86E" w14:textId="2631CF93" w:rsidR="008F3F03" w:rsidRDefault="008F3F03">
      <w:pPr>
        <w:pStyle w:val="Heading2"/>
      </w:pPr>
      <w:r>
        <w:t>Introduction</w:t>
      </w:r>
    </w:p>
    <w:p w14:paraId="4D404CE5" w14:textId="77777777" w:rsidR="008F3F03" w:rsidRDefault="008F3F03"/>
    <w:p w14:paraId="12EA9A78" w14:textId="5E6690A1" w:rsidR="00042536" w:rsidRDefault="008F3F03" w:rsidP="00F57BC7">
      <w:pPr>
        <w:pStyle w:val="BodyText2"/>
        <w:tabs>
          <w:tab w:val="left" w:pos="270"/>
        </w:tabs>
      </w:pPr>
      <w:r>
        <w:tab/>
      </w:r>
      <w:r w:rsidR="00F57BC7">
        <w:t>Engineered substrates are a promising technology to extend the performance of GaN epitaxy beyond 650 V while maintaining high yield and</w:t>
      </w:r>
      <w:r w:rsidR="00C02CA8">
        <w:t xml:space="preserve"> </w:t>
      </w:r>
      <w:r w:rsidR="00B03990">
        <w:t xml:space="preserve">a good control on wafer </w:t>
      </w:r>
      <w:r w:rsidR="00F57BC7">
        <w:t xml:space="preserve">bow to process wafers breakage-free in a production environment. </w:t>
      </w:r>
      <w:proofErr w:type="spellStart"/>
      <w:r w:rsidR="00F57BC7">
        <w:t>Qromis</w:t>
      </w:r>
      <w:proofErr w:type="spellEnd"/>
      <w:r w:rsidR="00F57BC7">
        <w:t xml:space="preserve"> Substrate Technology (</w:t>
      </w:r>
      <w:bookmarkStart w:id="0" w:name="OLE_LINK2"/>
      <w:bookmarkStart w:id="1" w:name="OLE_LINK3"/>
      <w:bookmarkStart w:id="2" w:name="OLE_LINK7"/>
      <w:r w:rsidR="00F57BC7">
        <w:t>QST</w:t>
      </w:r>
      <w:r w:rsidR="00F57BC7" w:rsidRPr="00F70F8C">
        <w:rPr>
          <w:vertAlign w:val="superscript"/>
        </w:rPr>
        <w:t>®</w:t>
      </w:r>
      <w:r w:rsidR="00F57BC7">
        <w:t xml:space="preserve">) </w:t>
      </w:r>
      <w:bookmarkEnd w:id="0"/>
      <w:bookmarkEnd w:id="1"/>
      <w:bookmarkEnd w:id="2"/>
      <w:r w:rsidR="00F57BC7">
        <w:t>has been a pioneer in this regard and commercially offers 200 mm engineered substrates with SEMI standard thickness capable of sustaining high breakdown voltages (≥ 600 V) [1]. The QST</w:t>
      </w:r>
      <w:r w:rsidR="00F57BC7" w:rsidRPr="00F70F8C">
        <w:rPr>
          <w:vertAlign w:val="superscript"/>
        </w:rPr>
        <w:t>®</w:t>
      </w:r>
      <w:r w:rsidR="00F57BC7">
        <w:t xml:space="preserve"> substrate consists of a polycrystalline ceramic core (poly-</w:t>
      </w:r>
      <w:proofErr w:type="spellStart"/>
      <w:r w:rsidR="00F57BC7">
        <w:t>AlN</w:t>
      </w:r>
      <w:proofErr w:type="spellEnd"/>
      <w:r w:rsidR="00F57BC7">
        <w:t>), covered by several encapsulation layers, on top of which is a SiO</w:t>
      </w:r>
      <w:r w:rsidR="00F57BC7" w:rsidRPr="006D76B9">
        <w:rPr>
          <w:vertAlign w:val="subscript"/>
        </w:rPr>
        <w:t>2</w:t>
      </w:r>
      <w:r w:rsidR="00F57BC7">
        <w:t xml:space="preserve"> bonding layer and a single crystalline Si layer which serves as the nucleation layer for the MOCVD growth [2].</w:t>
      </w:r>
    </w:p>
    <w:p w14:paraId="49D81F20" w14:textId="77777777" w:rsidR="00EE4973" w:rsidRDefault="00EE4973" w:rsidP="00F57BC7">
      <w:pPr>
        <w:pStyle w:val="BodyText2"/>
        <w:tabs>
          <w:tab w:val="left" w:pos="270"/>
        </w:tabs>
      </w:pPr>
    </w:p>
    <w:p w14:paraId="15CFC432" w14:textId="1FC75B43" w:rsidR="00F57BC7" w:rsidRDefault="00042536" w:rsidP="00F57BC7">
      <w:pPr>
        <w:pStyle w:val="BodyText2"/>
        <w:tabs>
          <w:tab w:val="left" w:pos="270"/>
        </w:tabs>
      </w:pPr>
      <w:r>
        <w:tab/>
      </w:r>
      <w:r w:rsidR="00F57BC7">
        <w:t>Resembling the work achieved for GaN power ICs on SOI [3], 200 V half-bridge with integrated drivers on GaN-on-QST</w:t>
      </w:r>
      <w:r w:rsidR="00F57BC7" w:rsidRPr="00F70F8C">
        <w:rPr>
          <w:vertAlign w:val="superscript"/>
        </w:rPr>
        <w:t>®</w:t>
      </w:r>
      <w:r w:rsidR="00F57BC7">
        <w:t xml:space="preserve"> has been rolled out for a higher switching speed, better power conversion efficiency, and reduced form factor [4].</w:t>
      </w:r>
      <w:r>
        <w:t xml:space="preserve"> </w:t>
      </w:r>
      <w:r w:rsidR="001230FB">
        <w:t>Both in the industry [</w:t>
      </w:r>
      <w:r w:rsidR="00A80811">
        <w:t>5,</w:t>
      </w:r>
      <w:r w:rsidR="00AA7C45">
        <w:t xml:space="preserve"> </w:t>
      </w:r>
      <w:r w:rsidR="00A80811">
        <w:t>6</w:t>
      </w:r>
      <w:r w:rsidR="00BB077A">
        <w:t>,</w:t>
      </w:r>
      <w:r w:rsidR="00AA7C45">
        <w:t xml:space="preserve"> </w:t>
      </w:r>
      <w:r w:rsidR="00BB077A">
        <w:t>7</w:t>
      </w:r>
      <w:r w:rsidR="001230FB">
        <w:t>] and academia [</w:t>
      </w:r>
      <w:r w:rsidR="00CA0286">
        <w:t>8</w:t>
      </w:r>
      <w:r w:rsidR="00A80811">
        <w:t>,</w:t>
      </w:r>
      <w:r w:rsidR="00AA7C45">
        <w:t xml:space="preserve"> </w:t>
      </w:r>
      <w:r w:rsidR="00CA0286">
        <w:t>9</w:t>
      </w:r>
      <w:r w:rsidR="001230FB">
        <w:t xml:space="preserve">], </w:t>
      </w:r>
      <w:r>
        <w:t xml:space="preserve">GaN power ICs have been attracting a </w:t>
      </w:r>
      <w:r w:rsidR="00B03990">
        <w:t>lot of interest</w:t>
      </w:r>
      <w:r w:rsidR="00AA7C45">
        <w:t xml:space="preserve"> </w:t>
      </w:r>
      <w:r w:rsidR="00AF2530">
        <w:t xml:space="preserve">because of the great </w:t>
      </w:r>
      <w:r w:rsidR="00AF2530">
        <w:t xml:space="preserve">advantages </w:t>
      </w:r>
      <w:r w:rsidR="001230FB">
        <w:t>of reducing chip size and suppressing the parasitic inductance</w:t>
      </w:r>
      <w:r>
        <w:t>.</w:t>
      </w:r>
      <w:r w:rsidR="00AA7C45">
        <w:t xml:space="preserve"> Recently, we have reported a fully integrated GaN smart pulse-width modulation (PWM) 48V-to-1V buck converter</w:t>
      </w:r>
      <w:r w:rsidR="00CD5284">
        <w:t xml:space="preserve"> [10]</w:t>
      </w:r>
      <w:r w:rsidR="00AA7C45">
        <w:t xml:space="preserve">. </w:t>
      </w:r>
    </w:p>
    <w:p w14:paraId="7FE59EFF" w14:textId="2DB774AE" w:rsidR="00F57BC7" w:rsidRDefault="00F57BC7" w:rsidP="00F57BC7">
      <w:pPr>
        <w:pStyle w:val="BodyText2"/>
        <w:tabs>
          <w:tab w:val="left" w:pos="270"/>
        </w:tabs>
      </w:pPr>
      <w:r>
        <w:tab/>
        <w:t>In this work, 650 V</w:t>
      </w:r>
      <w:r w:rsidR="00A50C65">
        <w:t xml:space="preserve"> GaN buffer and</w:t>
      </w:r>
      <w:r>
        <w:t xml:space="preserve"> p-GaN gate power HEMTs, trench isolation, and GaN power ICs on 200 mm engineered substrates will be demonstrated</w:t>
      </w:r>
      <w:r w:rsidRPr="00F85B35">
        <w:t xml:space="preserve"> as a first show-case to verify the feasibility of this concept</w:t>
      </w:r>
      <w:r>
        <w:t>.</w:t>
      </w:r>
    </w:p>
    <w:p w14:paraId="50218475" w14:textId="77777777" w:rsidR="008F3F03" w:rsidRDefault="008F3F03">
      <w:pPr>
        <w:pStyle w:val="Heading3"/>
        <w:tabs>
          <w:tab w:val="left" w:pos="270"/>
          <w:tab w:val="left" w:pos="450"/>
        </w:tabs>
        <w:rPr>
          <w:i w:val="0"/>
        </w:rPr>
      </w:pPr>
    </w:p>
    <w:p w14:paraId="30E34CC1" w14:textId="59CC1502" w:rsidR="008F3F03" w:rsidRDefault="00F57BC7">
      <w:pPr>
        <w:pStyle w:val="Heading2"/>
      </w:pPr>
      <w:r>
        <w:t>Epitaxy and Fabrication</w:t>
      </w:r>
    </w:p>
    <w:p w14:paraId="1B045032" w14:textId="77777777" w:rsidR="008F3F03" w:rsidRDefault="008F3F03">
      <w:pPr>
        <w:tabs>
          <w:tab w:val="left" w:pos="270"/>
        </w:tabs>
        <w:jc w:val="both"/>
      </w:pPr>
    </w:p>
    <w:p w14:paraId="0F855DF7" w14:textId="3E04ECF6" w:rsidR="008F3F03" w:rsidRDefault="008F3F03">
      <w:pPr>
        <w:tabs>
          <w:tab w:val="left" w:pos="270"/>
        </w:tabs>
        <w:jc w:val="both"/>
      </w:pPr>
      <w:r>
        <w:tab/>
      </w:r>
      <w:r w:rsidR="00F57BC7">
        <w:t xml:space="preserve">The </w:t>
      </w:r>
      <w:proofErr w:type="spellStart"/>
      <w:r w:rsidR="00F57BC7">
        <w:t>AlGaN</w:t>
      </w:r>
      <w:proofErr w:type="spellEnd"/>
      <w:r w:rsidR="00F57BC7">
        <w:t>/</w:t>
      </w:r>
      <w:proofErr w:type="spellStart"/>
      <w:r w:rsidR="00F57BC7">
        <w:t>GaN</w:t>
      </w:r>
      <w:proofErr w:type="spellEnd"/>
      <w:r w:rsidR="00F57BC7">
        <w:t xml:space="preserve"> buffer and active layers were all epitaxially grown on 200 mm engineered substrates using an AIX G5+ C Planetary Reactor</w:t>
      </w:r>
      <w:r w:rsidR="00F57BC7" w:rsidRPr="00F70F8C">
        <w:rPr>
          <w:vertAlign w:val="superscript"/>
        </w:rPr>
        <w:t>®</w:t>
      </w:r>
      <w:r w:rsidR="00F57BC7">
        <w:t xml:space="preserve"> from AIXTRON, Germany. The 5×200mm mini-batch reactor combined with cassette-to-cassette configuration allows for a high productivity while maintaining very low number of particles for </w:t>
      </w:r>
      <w:r w:rsidR="00360678">
        <w:t>optimal yield</w:t>
      </w:r>
      <w:r w:rsidR="00F57BC7">
        <w:t xml:space="preserve">. As shown in Fig. 1(a), the epi stack consists of a 200 nm </w:t>
      </w:r>
      <w:proofErr w:type="spellStart"/>
      <w:r w:rsidR="00F57BC7">
        <w:t>AlN</w:t>
      </w:r>
      <w:proofErr w:type="spellEnd"/>
      <w:r w:rsidR="00F57BC7">
        <w:t xml:space="preserve"> nucleation layer, a 3.9 </w:t>
      </w:r>
      <w:proofErr w:type="spellStart"/>
      <w:r w:rsidR="00F57BC7">
        <w:t>μm</w:t>
      </w:r>
      <w:proofErr w:type="spellEnd"/>
      <w:r w:rsidR="00F57BC7">
        <w:t xml:space="preserve"> (Al)</w:t>
      </w:r>
      <w:proofErr w:type="spellStart"/>
      <w:r w:rsidR="00F57BC7">
        <w:t>GaN</w:t>
      </w:r>
      <w:proofErr w:type="spellEnd"/>
      <w:r w:rsidR="00F57BC7">
        <w:t xml:space="preserve"> superlattice (SL) buffer, a 1 </w:t>
      </w:r>
      <w:proofErr w:type="spellStart"/>
      <w:r w:rsidR="00F57BC7">
        <w:t>μm</w:t>
      </w:r>
      <w:proofErr w:type="spellEnd"/>
      <w:r w:rsidR="00F57BC7">
        <w:t xml:space="preserve"> carbon-doped </w:t>
      </w:r>
      <w:proofErr w:type="spellStart"/>
      <w:r w:rsidR="00F57BC7">
        <w:t>GaN</w:t>
      </w:r>
      <w:proofErr w:type="spellEnd"/>
      <w:r w:rsidR="00F57BC7">
        <w:t xml:space="preserve"> back barrier, a 400 nm GaN channel, a 12.5 nm Al</w:t>
      </w:r>
      <w:r w:rsidR="00F57BC7" w:rsidRPr="00F70F8C">
        <w:rPr>
          <w:vertAlign w:val="subscript"/>
        </w:rPr>
        <w:t>0.23</w:t>
      </w:r>
      <w:r w:rsidR="00F57BC7">
        <w:t xml:space="preserve">GaN barrier, and an 80 nm Mg-doped p-GaN layer. The epitaxial layer stack was optimized regarding wafer bow (&lt;50 µm), defect density, barrier tuning (Al-content and thickness), and the Mg-doping density in the p-GaN gate. </w:t>
      </w:r>
      <w:r w:rsidR="00F57BC7" w:rsidRPr="000E7B72">
        <w:rPr>
          <w:i/>
        </w:rPr>
        <w:t>In-situ</w:t>
      </w:r>
      <w:r w:rsidR="00F57BC7">
        <w:t xml:space="preserve"> data of the wafer surface temperature and the reflectance at 633 nm as well as an optical micrograph after the epitaxy are shown in Fig. 1(c).</w:t>
      </w:r>
    </w:p>
    <w:p w14:paraId="6DDFEE8D" w14:textId="42CF8A16" w:rsidR="00F57BC7" w:rsidRDefault="00F57BC7">
      <w:pPr>
        <w:tabs>
          <w:tab w:val="left" w:pos="270"/>
        </w:tabs>
        <w:jc w:val="both"/>
      </w:pPr>
    </w:p>
    <w:p w14:paraId="6314FFD9" w14:textId="4C1C5233" w:rsidR="00F57BC7" w:rsidRDefault="00F57BC7" w:rsidP="00B0472F">
      <w:pPr>
        <w:pStyle w:val="BodyText2"/>
        <w:tabs>
          <w:tab w:val="left" w:pos="270"/>
        </w:tabs>
      </w:pPr>
      <w:r>
        <w:tab/>
        <w:t xml:space="preserve">The devices were processed using </w:t>
      </w:r>
      <w:proofErr w:type="spellStart"/>
      <w:r>
        <w:t>imec’s</w:t>
      </w:r>
      <w:proofErr w:type="spellEnd"/>
      <w:r>
        <w:t xml:space="preserve"> 200 mm CMOS compatible process modules (Fig. 1(b)) [</w:t>
      </w:r>
      <w:r w:rsidR="000E6AD7">
        <w:t>11</w:t>
      </w:r>
      <w:r>
        <w:t xml:space="preserve">]. A </w:t>
      </w:r>
      <w:proofErr w:type="spellStart"/>
      <w:r>
        <w:t>TiN</w:t>
      </w:r>
      <w:proofErr w:type="spellEnd"/>
      <w:r>
        <w:t xml:space="preserve"> layer was first deposited on the p-GaN, followed by the </w:t>
      </w:r>
      <w:proofErr w:type="spellStart"/>
      <w:r>
        <w:t>TiN</w:t>
      </w:r>
      <w:proofErr w:type="spellEnd"/>
      <w:r>
        <w:t xml:space="preserve"> layer dry etching. Then, a selective p-</w:t>
      </w:r>
      <w:proofErr w:type="spellStart"/>
      <w:r>
        <w:t>GaN</w:t>
      </w:r>
      <w:proofErr w:type="spellEnd"/>
      <w:r>
        <w:t xml:space="preserve"> to </w:t>
      </w:r>
      <w:proofErr w:type="spellStart"/>
      <w:r>
        <w:t>AlGaN</w:t>
      </w:r>
      <w:proofErr w:type="spellEnd"/>
      <w:r>
        <w:t xml:space="preserve"> dry etch was </w:t>
      </w:r>
      <w:r w:rsidR="000E6AD7">
        <w:t>conducted</w:t>
      </w:r>
      <w:r>
        <w:t xml:space="preserve"> using a BCl</w:t>
      </w:r>
      <w:r w:rsidRPr="00F70F8C">
        <w:rPr>
          <w:vertAlign w:val="subscript"/>
        </w:rPr>
        <w:t>3</w:t>
      </w:r>
      <w:r>
        <w:t>/SF</w:t>
      </w:r>
      <w:r w:rsidRPr="00F70F8C">
        <w:rPr>
          <w:vertAlign w:val="subscript"/>
        </w:rPr>
        <w:t>6</w:t>
      </w:r>
      <w:r>
        <w:t xml:space="preserve"> chemistry. Afterwards, the access area was passivated by a dielectric stack containing Al</w:t>
      </w:r>
      <w:r w:rsidRPr="00F70F8C">
        <w:rPr>
          <w:vertAlign w:val="subscript"/>
        </w:rPr>
        <w:t>2</w:t>
      </w:r>
      <w:r>
        <w:t>O</w:t>
      </w:r>
      <w:r w:rsidRPr="00F70F8C">
        <w:rPr>
          <w:vertAlign w:val="subscript"/>
        </w:rPr>
        <w:t>3</w:t>
      </w:r>
      <w:r>
        <w:t xml:space="preserve"> and SiO</w:t>
      </w:r>
      <w:r w:rsidRPr="00F70F8C">
        <w:rPr>
          <w:vertAlign w:val="subscript"/>
        </w:rPr>
        <w:t>2</w:t>
      </w:r>
      <w:r>
        <w:t>. The dielectric stack was then etched open in the gate area followed by the deposition and patterning of the gate metal stack. The gate processing was finalized by the deposition of a second SiO</w:t>
      </w:r>
      <w:r w:rsidRPr="00F70F8C">
        <w:rPr>
          <w:vertAlign w:val="subscript"/>
        </w:rPr>
        <w:t>2</w:t>
      </w:r>
      <w:r>
        <w:t xml:space="preserve"> layer. Ohmic contact formation of the source and drain contacts was done after the gate processing, using a low temperature annealing of the metal stack consisting of </w:t>
      </w:r>
      <w:proofErr w:type="spellStart"/>
      <w:r>
        <w:t>Ti</w:t>
      </w:r>
      <w:proofErr w:type="spellEnd"/>
      <w:r>
        <w:t>, Al</w:t>
      </w:r>
      <w:r w:rsidR="00360678">
        <w:t xml:space="preserve">, </w:t>
      </w:r>
      <w:proofErr w:type="spellStart"/>
      <w:r w:rsidR="00360678">
        <w:t>Ti</w:t>
      </w:r>
      <w:proofErr w:type="spellEnd"/>
      <w:r w:rsidR="00360678">
        <w:t xml:space="preserve"> and </w:t>
      </w:r>
      <w:proofErr w:type="spellStart"/>
      <w:r w:rsidR="00360678">
        <w:t>TiN</w:t>
      </w:r>
      <w:proofErr w:type="spellEnd"/>
      <w:r>
        <w:t xml:space="preserve"> [</w:t>
      </w:r>
      <w:r w:rsidR="000E6AD7">
        <w:t>12</w:t>
      </w:r>
      <w:r>
        <w:t xml:space="preserve">]. Trench isolation </w:t>
      </w:r>
      <w:r>
        <w:lastRenderedPageBreak/>
        <w:t>was made by etching the dielectric, (Al)GaN buffer, and Si(111) top layer, stopping in the SiO</w:t>
      </w:r>
      <w:r w:rsidRPr="00F70F8C">
        <w:rPr>
          <w:vertAlign w:val="subscript"/>
        </w:rPr>
        <w:t>2</w:t>
      </w:r>
      <w:r>
        <w:t xml:space="preserve"> buried oxide layer, followed by SiO</w:t>
      </w:r>
      <w:r>
        <w:rPr>
          <w:vertAlign w:val="subscript"/>
        </w:rPr>
        <w:t>2</w:t>
      </w:r>
      <w:r>
        <w:t xml:space="preserve"> filling and CMP. The process flow was completed by local substrate contact, back-end metallization, and </w:t>
      </w:r>
      <w:proofErr w:type="spellStart"/>
      <w:r>
        <w:t>SiN</w:t>
      </w:r>
      <w:proofErr w:type="spellEnd"/>
      <w:r>
        <w:t xml:space="preserve"> passivation, as shown in Fig. 2.</w:t>
      </w:r>
    </w:p>
    <w:p w14:paraId="47A78DFD" w14:textId="758A4092" w:rsidR="00F56AB2" w:rsidRDefault="00B0472F" w:rsidP="00B0472F">
      <w:pPr>
        <w:pStyle w:val="BodyText2"/>
        <w:tabs>
          <w:tab w:val="left" w:pos="270"/>
        </w:tabs>
        <w:jc w:val="center"/>
      </w:pPr>
      <w:r w:rsidRPr="00190256">
        <w:drawing>
          <wp:inline distT="0" distB="0" distL="0" distR="0" wp14:anchorId="73370568" wp14:editId="79E2BF40">
            <wp:extent cx="3089653" cy="16683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3949" cy="1681466"/>
                    </a:xfrm>
                    <a:prstGeom prst="rect">
                      <a:avLst/>
                    </a:prstGeom>
                    <a:noFill/>
                    <a:ln>
                      <a:noFill/>
                    </a:ln>
                  </pic:spPr>
                </pic:pic>
              </a:graphicData>
            </a:graphic>
          </wp:inline>
        </w:drawing>
      </w:r>
    </w:p>
    <w:p w14:paraId="37A815E7" w14:textId="77777777" w:rsidR="00F57BC7" w:rsidRDefault="00F57BC7" w:rsidP="00F57BC7">
      <w:pPr>
        <w:pStyle w:val="BodyText2"/>
        <w:tabs>
          <w:tab w:val="left" w:pos="270"/>
        </w:tabs>
        <w:jc w:val="center"/>
        <w:rPr>
          <w:bCs/>
          <w:color w:val="000000"/>
          <w:sz w:val="18"/>
          <w:szCs w:val="16"/>
        </w:rPr>
      </w:pPr>
      <w:r>
        <w:rPr>
          <w:noProof/>
          <w:lang w:val="de-AT" w:eastAsia="de-AT"/>
        </w:rPr>
        <w:drawing>
          <wp:inline distT="0" distB="0" distL="0" distR="0" wp14:anchorId="524D05E6" wp14:editId="2CF46A3D">
            <wp:extent cx="3056466" cy="152948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_situ_data.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1613" cy="1577095"/>
                    </a:xfrm>
                    <a:prstGeom prst="rect">
                      <a:avLst/>
                    </a:prstGeom>
                  </pic:spPr>
                </pic:pic>
              </a:graphicData>
            </a:graphic>
          </wp:inline>
        </w:drawing>
      </w:r>
    </w:p>
    <w:p w14:paraId="465D123D" w14:textId="1F352EEA" w:rsidR="00F57BC7" w:rsidRDefault="00F57BC7" w:rsidP="00F57BC7">
      <w:pPr>
        <w:pStyle w:val="BodyText2"/>
        <w:tabs>
          <w:tab w:val="left" w:pos="270"/>
        </w:tabs>
        <w:rPr>
          <w:bCs/>
          <w:color w:val="000000"/>
          <w:szCs w:val="18"/>
        </w:rPr>
      </w:pPr>
      <w:r w:rsidRPr="00F965A0">
        <w:rPr>
          <w:bCs/>
          <w:color w:val="000000"/>
          <w:szCs w:val="18"/>
        </w:rPr>
        <w:t>Fig. 1. (a) Schematic cross-section of the epitaxial layer stack, (b) process</w:t>
      </w:r>
      <w:r w:rsidR="00654C4A">
        <w:rPr>
          <w:bCs/>
          <w:color w:val="000000"/>
          <w:szCs w:val="18"/>
        </w:rPr>
        <w:t xml:space="preserve"> integration</w:t>
      </w:r>
      <w:r w:rsidRPr="00F965A0">
        <w:rPr>
          <w:bCs/>
          <w:color w:val="000000"/>
          <w:szCs w:val="18"/>
        </w:rPr>
        <w:t xml:space="preserve"> flow and (c) </w:t>
      </w:r>
      <w:r w:rsidRPr="00F965A0">
        <w:rPr>
          <w:bCs/>
          <w:i/>
          <w:iCs/>
          <w:color w:val="000000"/>
          <w:szCs w:val="18"/>
        </w:rPr>
        <w:t>in-situ</w:t>
      </w:r>
      <w:r w:rsidRPr="00F965A0">
        <w:rPr>
          <w:bCs/>
          <w:color w:val="000000"/>
          <w:szCs w:val="18"/>
        </w:rPr>
        <w:t xml:space="preserve"> data of the surface temperature and the reflectance. The inset shows an optical micrograph of the surface after the epitaxial growth.</w:t>
      </w:r>
    </w:p>
    <w:p w14:paraId="40EE4979" w14:textId="10857569" w:rsidR="00F74426" w:rsidRDefault="00F74426" w:rsidP="00F57BC7">
      <w:pPr>
        <w:pStyle w:val="BodyText2"/>
        <w:tabs>
          <w:tab w:val="left" w:pos="270"/>
        </w:tabs>
        <w:rPr>
          <w:bCs/>
          <w:color w:val="000000"/>
          <w:szCs w:val="18"/>
        </w:rPr>
      </w:pPr>
    </w:p>
    <w:p w14:paraId="2CC06699" w14:textId="77777777" w:rsidR="00F74426" w:rsidRDefault="00F74426" w:rsidP="00F74426">
      <w:pPr>
        <w:pStyle w:val="BodyText2"/>
        <w:tabs>
          <w:tab w:val="left" w:pos="270"/>
        </w:tabs>
        <w:jc w:val="center"/>
        <w:rPr>
          <w:b/>
          <w:color w:val="000000"/>
          <w:sz w:val="28"/>
          <w:szCs w:val="24"/>
          <w:lang w:eastAsia="zh-CN"/>
        </w:rPr>
      </w:pPr>
      <w:r>
        <w:rPr>
          <w:b/>
          <w:noProof/>
          <w:color w:val="000000"/>
          <w:sz w:val="28"/>
          <w:szCs w:val="24"/>
          <w:lang w:val="de-AT" w:eastAsia="de-AT"/>
        </w:rPr>
        <w:drawing>
          <wp:inline distT="0" distB="0" distL="0" distR="0" wp14:anchorId="0D667488" wp14:editId="21696EB4">
            <wp:extent cx="2985753" cy="1031050"/>
            <wp:effectExtent l="0" t="0" r="571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0040" cy="1098142"/>
                    </a:xfrm>
                    <a:prstGeom prst="rect">
                      <a:avLst/>
                    </a:prstGeom>
                    <a:noFill/>
                  </pic:spPr>
                </pic:pic>
              </a:graphicData>
            </a:graphic>
          </wp:inline>
        </w:drawing>
      </w:r>
    </w:p>
    <w:p w14:paraId="78CB5D1F" w14:textId="1A904428" w:rsidR="00F74426" w:rsidRPr="00F965A0" w:rsidRDefault="00F74426" w:rsidP="00F57BC7">
      <w:pPr>
        <w:pStyle w:val="BodyText2"/>
        <w:tabs>
          <w:tab w:val="left" w:pos="270"/>
        </w:tabs>
        <w:rPr>
          <w:bCs/>
          <w:color w:val="000000"/>
          <w:szCs w:val="18"/>
        </w:rPr>
      </w:pPr>
      <w:r w:rsidRPr="00F74426">
        <w:rPr>
          <w:bCs/>
          <w:color w:val="000000"/>
          <w:szCs w:val="18"/>
        </w:rPr>
        <w:t xml:space="preserve">Fig. 2. Schematic cross-section of the integrated half-bridge, trench isolation, and local substrate contact. </w:t>
      </w:r>
    </w:p>
    <w:p w14:paraId="543841F3" w14:textId="2B9376A5" w:rsidR="00F57BC7" w:rsidRDefault="00F57BC7">
      <w:pPr>
        <w:tabs>
          <w:tab w:val="left" w:pos="270"/>
        </w:tabs>
        <w:jc w:val="both"/>
      </w:pPr>
    </w:p>
    <w:p w14:paraId="533B4FB0" w14:textId="77777777" w:rsidR="007F5315" w:rsidRDefault="007F5315">
      <w:pPr>
        <w:tabs>
          <w:tab w:val="left" w:pos="270"/>
        </w:tabs>
        <w:jc w:val="both"/>
      </w:pPr>
    </w:p>
    <w:p w14:paraId="13ED5FC6" w14:textId="3E7DD952" w:rsidR="00F74426" w:rsidRDefault="00F74426" w:rsidP="00F74426">
      <w:pPr>
        <w:pStyle w:val="Heading2"/>
      </w:pPr>
      <w:r>
        <w:t>E</w:t>
      </w:r>
      <w:r w:rsidR="007F5315">
        <w:t>lectrical Characterization</w:t>
      </w:r>
    </w:p>
    <w:p w14:paraId="724BDAC7" w14:textId="77777777" w:rsidR="00F57BC7" w:rsidRDefault="00F57BC7">
      <w:pPr>
        <w:tabs>
          <w:tab w:val="left" w:pos="270"/>
        </w:tabs>
        <w:jc w:val="both"/>
      </w:pPr>
    </w:p>
    <w:p w14:paraId="0D96EBAC" w14:textId="42FA0125" w:rsidR="00EE61DD" w:rsidRDefault="00953573" w:rsidP="00953573">
      <w:pPr>
        <w:pStyle w:val="BodyText2"/>
        <w:tabs>
          <w:tab w:val="left" w:pos="270"/>
        </w:tabs>
      </w:pPr>
      <w:r>
        <w:tab/>
        <w:t xml:space="preserve">As shown in Fig. 3, the </w:t>
      </w:r>
      <w:bookmarkStart w:id="3" w:name="_Hlk32913625"/>
      <w:r>
        <w:t>GaN buffer demonstrates a breakdown voltage of &gt;650 V under the</w:t>
      </w:r>
      <w:r w:rsidR="007663FA">
        <w:t xml:space="preserve"> criterion </w:t>
      </w:r>
      <w:r>
        <w:t xml:space="preserve">of 10 </w:t>
      </w:r>
      <w:proofErr w:type="spellStart"/>
      <w:r>
        <w:t>μA</w:t>
      </w:r>
      <w:proofErr w:type="spellEnd"/>
      <w:r>
        <w:t>/mm</w:t>
      </w:r>
      <w:r w:rsidRPr="00F70F8C">
        <w:rPr>
          <w:vertAlign w:val="superscript"/>
        </w:rPr>
        <w:t>2</w:t>
      </w:r>
      <w:r>
        <w:t xml:space="preserve"> leakage current at 150 °C. </w:t>
      </w:r>
      <w:bookmarkEnd w:id="3"/>
      <w:r>
        <w:t>Tuning the epitaxial growth condition and buffer thickness is essential to reach this voltage level</w:t>
      </w:r>
      <w:r w:rsidR="00180E21">
        <w:rPr>
          <w:lang w:eastAsia="zh-CN"/>
        </w:rPr>
        <w:t xml:space="preserve">. Fig. 3(c) compared the leakage behaviors of an optimized </w:t>
      </w:r>
      <w:proofErr w:type="spellStart"/>
      <w:r w:rsidR="00180E21">
        <w:rPr>
          <w:lang w:eastAsia="zh-CN"/>
        </w:rPr>
        <w:t>GaN</w:t>
      </w:r>
      <w:proofErr w:type="spellEnd"/>
      <w:r w:rsidR="00180E21">
        <w:rPr>
          <w:lang w:eastAsia="zh-CN"/>
        </w:rPr>
        <w:t xml:space="preserve"> buffer and a non-optimized </w:t>
      </w:r>
      <w:proofErr w:type="spellStart"/>
      <w:r w:rsidR="00180E21">
        <w:rPr>
          <w:lang w:eastAsia="zh-CN"/>
        </w:rPr>
        <w:t>GaN</w:t>
      </w:r>
      <w:proofErr w:type="spellEnd"/>
      <w:r w:rsidR="00180E21">
        <w:rPr>
          <w:lang w:eastAsia="zh-CN"/>
        </w:rPr>
        <w:t xml:space="preserve"> buffer on </w:t>
      </w:r>
      <w:r w:rsidR="00180E21">
        <w:t>QST</w:t>
      </w:r>
      <w:r w:rsidR="00180E21" w:rsidRPr="00F70F8C">
        <w:rPr>
          <w:vertAlign w:val="superscript"/>
        </w:rPr>
        <w:t>®</w:t>
      </w:r>
      <w:r w:rsidR="00180E21">
        <w:t>.</w:t>
      </w:r>
      <w:bookmarkStart w:id="4" w:name="_Hlk32913611"/>
      <w:r w:rsidR="00180E21">
        <w:t xml:space="preserve"> </w:t>
      </w:r>
      <w:r w:rsidR="00076C6E">
        <w:t>The horizontal trench isolation breakdown voltage exceeds 850 V as presented</w:t>
      </w:r>
      <w:r w:rsidR="004F7A0B">
        <w:t xml:space="preserve"> in </w:t>
      </w:r>
      <w:r w:rsidR="00076C6E">
        <w:t xml:space="preserve">Fig. 4, fulfilling the 650 V power ICs integration requirement. </w:t>
      </w:r>
      <w:r>
        <w:t xml:space="preserve">The fabricated 36 mm power HEMTs with </w:t>
      </w:r>
      <w:r w:rsidRPr="00F70F8C">
        <w:rPr>
          <w:i/>
          <w:iCs/>
        </w:rPr>
        <w:t>L</w:t>
      </w:r>
      <w:r w:rsidRPr="00F70F8C">
        <w:rPr>
          <w:vertAlign w:val="subscript"/>
        </w:rPr>
        <w:t>GD</w:t>
      </w:r>
      <w:r>
        <w:t xml:space="preserve"> of 16 µm show a high threshold voltage of 3.1 V and a low OFF-state drain leakage of &lt;1 </w:t>
      </w:r>
      <w:r>
        <w:t xml:space="preserve">µA/mm until 650 V (Fig. </w:t>
      </w:r>
      <w:r w:rsidR="00076C6E">
        <w:t>5</w:t>
      </w:r>
      <w:r>
        <w:t>).</w:t>
      </w:r>
      <w:r w:rsidR="00035DA5">
        <w:t xml:space="preserve"> </w:t>
      </w:r>
      <w:r w:rsidR="00AD37B2">
        <w:t xml:space="preserve">The dynamic performance is assessed by the on-the-fly pulse </w:t>
      </w:r>
      <w:r w:rsidR="00AD37B2" w:rsidRPr="00D1749E">
        <w:rPr>
          <w:i/>
          <w:iCs/>
        </w:rPr>
        <w:t>I-V</w:t>
      </w:r>
      <w:r w:rsidR="00AD37B2">
        <w:t xml:space="preserve"> measurement as shown in Fig. 6(a),</w:t>
      </w:r>
      <w:r w:rsidR="00654C4A">
        <w:t xml:space="preserve"> for which the </w:t>
      </w:r>
      <w:r w:rsidR="00B058BD">
        <w:t>transistor</w:t>
      </w:r>
      <w:r w:rsidR="00654C4A">
        <w:t xml:space="preserve"> is stressed in </w:t>
      </w:r>
      <w:r w:rsidR="00035DA5">
        <w:t xml:space="preserve">OFF-state to induce some trapping in the device </w:t>
      </w:r>
      <w:r w:rsidR="006F4C34">
        <w:t xml:space="preserve">to mimic the real operating condition. </w:t>
      </w:r>
      <w:r w:rsidR="00035DA5">
        <w:t xml:space="preserve">The </w:t>
      </w:r>
      <w:r w:rsidR="00AD37B2">
        <w:t xml:space="preserve">normalized dynamic </w:t>
      </w:r>
      <w:r w:rsidR="00AD37B2" w:rsidRPr="0005585E">
        <w:rPr>
          <w:i/>
          <w:iCs/>
        </w:rPr>
        <w:t>R</w:t>
      </w:r>
      <w:r w:rsidR="00AD37B2" w:rsidRPr="0005585E">
        <w:rPr>
          <w:vertAlign w:val="subscript"/>
        </w:rPr>
        <w:t>ON</w:t>
      </w:r>
      <w:r w:rsidR="00AD37B2">
        <w:t xml:space="preserve"> shift </w:t>
      </w:r>
      <w:r w:rsidR="00B058BD">
        <w:t xml:space="preserve">is below </w:t>
      </w:r>
      <w:r w:rsidR="00AD37B2">
        <w:rPr>
          <w:lang w:eastAsia="zh-CN"/>
        </w:rPr>
        <w:t>2</w:t>
      </w:r>
      <w:r w:rsidR="00AD37B2" w:rsidRPr="00613A42">
        <w:rPr>
          <w:lang w:eastAsia="zh-CN"/>
        </w:rPr>
        <w:t>0</w:t>
      </w:r>
      <w:r w:rsidR="00B058BD">
        <w:rPr>
          <w:lang w:eastAsia="zh-CN"/>
        </w:rPr>
        <w:t xml:space="preserve"> </w:t>
      </w:r>
      <w:r w:rsidR="00AD37B2" w:rsidRPr="00613A42">
        <w:rPr>
          <w:lang w:eastAsia="zh-CN"/>
        </w:rPr>
        <w:t>%</w:t>
      </w:r>
      <w:r w:rsidR="00AD37B2">
        <w:rPr>
          <w:lang w:eastAsia="zh-CN"/>
        </w:rPr>
        <w:t xml:space="preserve"> </w:t>
      </w:r>
      <w:r w:rsidR="00B058BD">
        <w:rPr>
          <w:lang w:eastAsia="zh-CN"/>
        </w:rPr>
        <w:t xml:space="preserve">for the full voltage range, compared to a fresh HEMT device. The characterization has been performed until </w:t>
      </w:r>
      <w:r w:rsidR="00AD37B2">
        <w:rPr>
          <w:lang w:eastAsia="zh-CN"/>
        </w:rPr>
        <w:t>600 V (Fig. 6(b)).</w:t>
      </w:r>
    </w:p>
    <w:p w14:paraId="232F8FCA" w14:textId="77777777" w:rsidR="005A635B" w:rsidRDefault="005A635B" w:rsidP="00953573">
      <w:pPr>
        <w:pStyle w:val="BodyText2"/>
        <w:tabs>
          <w:tab w:val="left" w:pos="270"/>
        </w:tabs>
      </w:pPr>
    </w:p>
    <w:bookmarkEnd w:id="4"/>
    <w:p w14:paraId="39BD5382" w14:textId="71C0B6FE" w:rsidR="00250026" w:rsidRDefault="00953573" w:rsidP="00250026">
      <w:pPr>
        <w:pStyle w:val="BodyText2"/>
        <w:tabs>
          <w:tab w:val="left" w:pos="270"/>
        </w:tabs>
        <w:jc w:val="center"/>
        <w:rPr>
          <w:b/>
          <w:color w:val="000000"/>
          <w:sz w:val="28"/>
          <w:szCs w:val="24"/>
        </w:rPr>
      </w:pPr>
      <w:r w:rsidRPr="00C07AF2">
        <w:rPr>
          <w:noProof/>
          <w:lang w:val="de-AT" w:eastAsia="de-AT"/>
        </w:rPr>
        <w:drawing>
          <wp:inline distT="0" distB="0" distL="0" distR="0" wp14:anchorId="3C7759FF" wp14:editId="3F2D718B">
            <wp:extent cx="1222447" cy="154289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l="1036" t="3812" r="41106" b="948"/>
                    <a:stretch>
                      <a:fillRect/>
                    </a:stretch>
                  </pic:blipFill>
                  <pic:spPr bwMode="auto">
                    <a:xfrm>
                      <a:off x="0" y="0"/>
                      <a:ext cx="1239190" cy="1564025"/>
                    </a:xfrm>
                    <a:prstGeom prst="rect">
                      <a:avLst/>
                    </a:prstGeom>
                    <a:noFill/>
                    <a:ln>
                      <a:noFill/>
                    </a:ln>
                  </pic:spPr>
                </pic:pic>
              </a:graphicData>
            </a:graphic>
          </wp:inline>
        </w:drawing>
      </w:r>
      <w:r>
        <w:rPr>
          <w:b/>
          <w:color w:val="000000"/>
          <w:sz w:val="28"/>
          <w:szCs w:val="24"/>
        </w:rPr>
        <w:t xml:space="preserve">  </w:t>
      </w:r>
      <w:r w:rsidRPr="00C07AF2">
        <w:rPr>
          <w:noProof/>
          <w:lang w:val="de-AT" w:eastAsia="de-AT"/>
        </w:rPr>
        <w:drawing>
          <wp:inline distT="0" distB="0" distL="0" distR="0" wp14:anchorId="0CEBFCB7" wp14:editId="31587E3E">
            <wp:extent cx="1194891" cy="15467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l="1138" t="3535" r="42438" b="1059"/>
                    <a:stretch>
                      <a:fillRect/>
                    </a:stretch>
                  </pic:blipFill>
                  <pic:spPr bwMode="auto">
                    <a:xfrm>
                      <a:off x="0" y="0"/>
                      <a:ext cx="1214850" cy="1572568"/>
                    </a:xfrm>
                    <a:prstGeom prst="rect">
                      <a:avLst/>
                    </a:prstGeom>
                    <a:noFill/>
                    <a:ln>
                      <a:noFill/>
                    </a:ln>
                  </pic:spPr>
                </pic:pic>
              </a:graphicData>
            </a:graphic>
          </wp:inline>
        </w:drawing>
      </w:r>
    </w:p>
    <w:p w14:paraId="1D24FF41" w14:textId="2BE5B4FD" w:rsidR="00250026" w:rsidRDefault="00250026" w:rsidP="00953573">
      <w:pPr>
        <w:pStyle w:val="BodyText2"/>
        <w:tabs>
          <w:tab w:val="left" w:pos="270"/>
        </w:tabs>
        <w:jc w:val="center"/>
        <w:rPr>
          <w:b/>
          <w:color w:val="000000"/>
          <w:sz w:val="28"/>
          <w:szCs w:val="24"/>
        </w:rPr>
      </w:pPr>
      <w:r w:rsidRPr="00250026">
        <w:drawing>
          <wp:inline distT="0" distB="0" distL="0" distR="0" wp14:anchorId="3EB69F79" wp14:editId="45364AF4">
            <wp:extent cx="2385479" cy="1824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6443" cy="1840221"/>
                    </a:xfrm>
                    <a:prstGeom prst="rect">
                      <a:avLst/>
                    </a:prstGeom>
                    <a:noFill/>
                    <a:ln>
                      <a:noFill/>
                    </a:ln>
                  </pic:spPr>
                </pic:pic>
              </a:graphicData>
            </a:graphic>
          </wp:inline>
        </w:drawing>
      </w:r>
    </w:p>
    <w:p w14:paraId="288929A6" w14:textId="7265484E" w:rsidR="00953573" w:rsidRDefault="00953573" w:rsidP="00953573">
      <w:pPr>
        <w:pStyle w:val="BodyText2"/>
        <w:tabs>
          <w:tab w:val="left" w:pos="270"/>
        </w:tabs>
        <w:rPr>
          <w:bCs/>
          <w:color w:val="000000"/>
          <w:szCs w:val="18"/>
        </w:rPr>
      </w:pPr>
      <w:r w:rsidRPr="00953573">
        <w:rPr>
          <w:bCs/>
          <w:color w:val="000000"/>
          <w:szCs w:val="18"/>
        </w:rPr>
        <w:t xml:space="preserve">Fig. 3. Forward and reverse bias buffer vertical leakage characteristics of the epitaxial layer stack in Fig. 1(a) at (a) 25 and (b) 150 °C, and (c) comparison of the buffer leakage characteristics </w:t>
      </w:r>
      <w:r w:rsidR="00AC0B55">
        <w:rPr>
          <w:bCs/>
          <w:color w:val="000000"/>
          <w:szCs w:val="18"/>
        </w:rPr>
        <w:t>between an optimized and a non</w:t>
      </w:r>
      <w:r w:rsidR="00250026">
        <w:rPr>
          <w:bCs/>
          <w:color w:val="000000"/>
          <w:szCs w:val="18"/>
        </w:rPr>
        <w:t>-</w:t>
      </w:r>
      <w:r w:rsidR="00AC0B55">
        <w:rPr>
          <w:bCs/>
          <w:color w:val="000000"/>
          <w:szCs w:val="18"/>
        </w:rPr>
        <w:t xml:space="preserve">optimized </w:t>
      </w:r>
      <w:proofErr w:type="spellStart"/>
      <w:r w:rsidR="00AC0B55">
        <w:rPr>
          <w:bCs/>
          <w:color w:val="000000"/>
          <w:szCs w:val="18"/>
        </w:rPr>
        <w:t>GaN</w:t>
      </w:r>
      <w:proofErr w:type="spellEnd"/>
      <w:r w:rsidR="00AC0B55">
        <w:rPr>
          <w:bCs/>
          <w:color w:val="000000"/>
          <w:szCs w:val="18"/>
        </w:rPr>
        <w:t xml:space="preserve"> buffer on</w:t>
      </w:r>
      <w:r w:rsidR="00D974F2">
        <w:rPr>
          <w:bCs/>
          <w:color w:val="000000"/>
          <w:szCs w:val="18"/>
        </w:rPr>
        <w:t xml:space="preserve"> </w:t>
      </w:r>
      <w:r w:rsidR="00D974F2">
        <w:t>QST</w:t>
      </w:r>
      <w:r w:rsidR="00D974F2" w:rsidRPr="00F70F8C">
        <w:rPr>
          <w:vertAlign w:val="superscript"/>
        </w:rPr>
        <w:t>®</w:t>
      </w:r>
      <w:r w:rsidR="00D974F2">
        <w:t>.</w:t>
      </w:r>
    </w:p>
    <w:p w14:paraId="79DA073C" w14:textId="64506B52" w:rsidR="0016673C" w:rsidRDefault="0016673C" w:rsidP="00953573">
      <w:pPr>
        <w:pStyle w:val="BodyText2"/>
        <w:tabs>
          <w:tab w:val="left" w:pos="270"/>
        </w:tabs>
        <w:rPr>
          <w:bCs/>
          <w:color w:val="000000"/>
          <w:szCs w:val="18"/>
        </w:rPr>
      </w:pPr>
    </w:p>
    <w:p w14:paraId="7C32216C" w14:textId="2A391702" w:rsidR="00076C6E" w:rsidRDefault="00076C6E" w:rsidP="00953573">
      <w:pPr>
        <w:pStyle w:val="BodyText2"/>
        <w:tabs>
          <w:tab w:val="left" w:pos="270"/>
        </w:tabs>
        <w:rPr>
          <w:bCs/>
          <w:color w:val="000000"/>
          <w:szCs w:val="18"/>
        </w:rPr>
      </w:pPr>
    </w:p>
    <w:p w14:paraId="576FB3F4" w14:textId="77777777" w:rsidR="00076C6E" w:rsidRDefault="00076C6E" w:rsidP="00076C6E">
      <w:pPr>
        <w:pStyle w:val="BodyText2"/>
        <w:tabs>
          <w:tab w:val="left" w:pos="270"/>
        </w:tabs>
        <w:jc w:val="center"/>
        <w:rPr>
          <w:b/>
          <w:color w:val="000000"/>
          <w:sz w:val="28"/>
          <w:szCs w:val="24"/>
        </w:rPr>
      </w:pPr>
      <w:r w:rsidRPr="00114805">
        <w:rPr>
          <w:noProof/>
          <w:lang w:val="de-AT" w:eastAsia="de-AT"/>
        </w:rPr>
        <w:drawing>
          <wp:inline distT="0" distB="0" distL="0" distR="0" wp14:anchorId="7B7E5ACD" wp14:editId="396E70F8">
            <wp:extent cx="2423440" cy="206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l="7474" t="6328" r="8049"/>
                    <a:stretch>
                      <a:fillRect/>
                    </a:stretch>
                  </pic:blipFill>
                  <pic:spPr bwMode="auto">
                    <a:xfrm>
                      <a:off x="0" y="0"/>
                      <a:ext cx="2443379" cy="2080074"/>
                    </a:xfrm>
                    <a:prstGeom prst="rect">
                      <a:avLst/>
                    </a:prstGeom>
                    <a:noFill/>
                    <a:ln>
                      <a:noFill/>
                    </a:ln>
                  </pic:spPr>
                </pic:pic>
              </a:graphicData>
            </a:graphic>
          </wp:inline>
        </w:drawing>
      </w:r>
    </w:p>
    <w:p w14:paraId="6B347B6B" w14:textId="0FD2DDCF" w:rsidR="00076C6E" w:rsidRDefault="00076C6E" w:rsidP="00953573">
      <w:pPr>
        <w:pStyle w:val="BodyText2"/>
        <w:tabs>
          <w:tab w:val="left" w:pos="270"/>
        </w:tabs>
        <w:rPr>
          <w:bCs/>
          <w:color w:val="000000"/>
          <w:szCs w:val="18"/>
        </w:rPr>
      </w:pPr>
      <w:r w:rsidRPr="00953573">
        <w:rPr>
          <w:bCs/>
          <w:color w:val="000000"/>
          <w:szCs w:val="18"/>
        </w:rPr>
        <w:t xml:space="preserve">Fig. </w:t>
      </w:r>
      <w:r>
        <w:rPr>
          <w:bCs/>
          <w:color w:val="000000"/>
          <w:szCs w:val="18"/>
        </w:rPr>
        <w:t>4</w:t>
      </w:r>
      <w:r w:rsidRPr="00953573">
        <w:rPr>
          <w:bCs/>
          <w:color w:val="000000"/>
          <w:szCs w:val="18"/>
        </w:rPr>
        <w:t>. Lateral breakdown characteristics of the trench isolation.</w:t>
      </w:r>
      <w:r w:rsidR="002C454F">
        <w:rPr>
          <w:bCs/>
          <w:color w:val="000000"/>
          <w:szCs w:val="18"/>
        </w:rPr>
        <w:t xml:space="preserve"> </w:t>
      </w:r>
      <w:r w:rsidR="00030A7A">
        <w:rPr>
          <w:bCs/>
          <w:color w:val="000000"/>
          <w:szCs w:val="18"/>
        </w:rPr>
        <w:t xml:space="preserve"> </w:t>
      </w:r>
      <w:r w:rsidR="00030A7A">
        <w:t>The horizontal trench isolation breakdown voltage exceeds 850 V.</w:t>
      </w:r>
    </w:p>
    <w:p w14:paraId="0E7B0065" w14:textId="66834731" w:rsidR="0016673C" w:rsidRPr="00953573" w:rsidRDefault="0016673C" w:rsidP="0016673C">
      <w:pPr>
        <w:pStyle w:val="BodyText2"/>
        <w:tabs>
          <w:tab w:val="left" w:pos="270"/>
        </w:tabs>
        <w:jc w:val="center"/>
        <w:rPr>
          <w:bCs/>
          <w:color w:val="000000"/>
          <w:szCs w:val="18"/>
        </w:rPr>
      </w:pPr>
      <w:r w:rsidRPr="0016673C">
        <w:rPr>
          <w:noProof/>
          <w:lang w:val="de-AT" w:eastAsia="de-AT"/>
        </w:rPr>
        <w:lastRenderedPageBreak/>
        <w:drawing>
          <wp:inline distT="0" distB="0" distL="0" distR="0" wp14:anchorId="400C0985" wp14:editId="46E1FBBC">
            <wp:extent cx="2451513" cy="1362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3532"/>
                    <a:stretch/>
                  </pic:blipFill>
                  <pic:spPr bwMode="auto">
                    <a:xfrm>
                      <a:off x="0" y="0"/>
                      <a:ext cx="2456433" cy="1365445"/>
                    </a:xfrm>
                    <a:prstGeom prst="rect">
                      <a:avLst/>
                    </a:prstGeom>
                    <a:noFill/>
                    <a:ln>
                      <a:noFill/>
                    </a:ln>
                    <a:extLst>
                      <a:ext uri="{53640926-AAD7-44D8-BBD7-CCE9431645EC}">
                        <a14:shadowObscured xmlns:a14="http://schemas.microsoft.com/office/drawing/2010/main"/>
                      </a:ext>
                    </a:extLst>
                  </pic:spPr>
                </pic:pic>
              </a:graphicData>
            </a:graphic>
          </wp:inline>
        </w:drawing>
      </w:r>
    </w:p>
    <w:p w14:paraId="310F8020" w14:textId="77777777" w:rsidR="00953573" w:rsidRDefault="00953573" w:rsidP="00953573">
      <w:pPr>
        <w:pStyle w:val="BodyText2"/>
        <w:tabs>
          <w:tab w:val="left" w:pos="270"/>
        </w:tabs>
        <w:jc w:val="center"/>
      </w:pPr>
    </w:p>
    <w:p w14:paraId="3AB315A8" w14:textId="6675C37E" w:rsidR="00953573" w:rsidRDefault="00953573" w:rsidP="00953573">
      <w:pPr>
        <w:pStyle w:val="BodyText2"/>
        <w:tabs>
          <w:tab w:val="left" w:pos="270"/>
        </w:tabs>
        <w:jc w:val="center"/>
        <w:rPr>
          <w:b/>
          <w:color w:val="000000"/>
          <w:sz w:val="28"/>
          <w:szCs w:val="24"/>
        </w:rPr>
      </w:pPr>
      <w:r w:rsidRPr="00CB1CC1">
        <w:rPr>
          <w:noProof/>
          <w:lang w:val="de-AT" w:eastAsia="de-AT"/>
        </w:rPr>
        <w:drawing>
          <wp:inline distT="0" distB="0" distL="0" distR="0" wp14:anchorId="1DF99BF3" wp14:editId="12976780">
            <wp:extent cx="1565167" cy="1670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804" r="30984"/>
                    <a:stretch/>
                  </pic:blipFill>
                  <pic:spPr bwMode="auto">
                    <a:xfrm>
                      <a:off x="0" y="0"/>
                      <a:ext cx="1572931" cy="1678324"/>
                    </a:xfrm>
                    <a:prstGeom prst="rect">
                      <a:avLst/>
                    </a:prstGeom>
                    <a:noFill/>
                    <a:ln>
                      <a:noFill/>
                    </a:ln>
                    <a:extLst>
                      <a:ext uri="{53640926-AAD7-44D8-BBD7-CCE9431645EC}">
                        <a14:shadowObscured xmlns:a14="http://schemas.microsoft.com/office/drawing/2010/main"/>
                      </a:ext>
                    </a:extLst>
                  </pic:spPr>
                </pic:pic>
              </a:graphicData>
            </a:graphic>
          </wp:inline>
        </w:drawing>
      </w:r>
      <w:r w:rsidR="007142E6" w:rsidRPr="007142E6">
        <w:rPr>
          <w:noProof/>
          <w:lang w:val="de-AT" w:eastAsia="de-AT"/>
        </w:rPr>
        <w:drawing>
          <wp:inline distT="0" distB="0" distL="0" distR="0" wp14:anchorId="4F5C7D58" wp14:editId="0BD2FCEE">
            <wp:extent cx="1409830" cy="1666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3957" r="37748"/>
                    <a:stretch/>
                  </pic:blipFill>
                  <pic:spPr bwMode="auto">
                    <a:xfrm>
                      <a:off x="0" y="0"/>
                      <a:ext cx="1428078" cy="1688450"/>
                    </a:xfrm>
                    <a:prstGeom prst="rect">
                      <a:avLst/>
                    </a:prstGeom>
                    <a:noFill/>
                    <a:ln>
                      <a:noFill/>
                    </a:ln>
                    <a:extLst>
                      <a:ext uri="{53640926-AAD7-44D8-BBD7-CCE9431645EC}">
                        <a14:shadowObscured xmlns:a14="http://schemas.microsoft.com/office/drawing/2010/main"/>
                      </a:ext>
                    </a:extLst>
                  </pic:spPr>
                </pic:pic>
              </a:graphicData>
            </a:graphic>
          </wp:inline>
        </w:drawing>
      </w:r>
    </w:p>
    <w:p w14:paraId="03529332" w14:textId="2FBF4148" w:rsidR="00953573" w:rsidRDefault="00953573" w:rsidP="00953573">
      <w:pPr>
        <w:pStyle w:val="BodyText2"/>
        <w:tabs>
          <w:tab w:val="left" w:pos="270"/>
        </w:tabs>
        <w:rPr>
          <w:bCs/>
          <w:color w:val="000000"/>
          <w:szCs w:val="18"/>
        </w:rPr>
      </w:pPr>
      <w:r w:rsidRPr="00953573">
        <w:rPr>
          <w:bCs/>
          <w:color w:val="000000"/>
          <w:szCs w:val="18"/>
        </w:rPr>
        <w:t xml:space="preserve">Fig. </w:t>
      </w:r>
      <w:r w:rsidR="00076C6E">
        <w:rPr>
          <w:bCs/>
          <w:color w:val="000000"/>
          <w:szCs w:val="18"/>
        </w:rPr>
        <w:t>5</w:t>
      </w:r>
      <w:r w:rsidRPr="00953573">
        <w:rPr>
          <w:bCs/>
          <w:color w:val="000000"/>
          <w:szCs w:val="18"/>
        </w:rPr>
        <w:t xml:space="preserve">. (a) Photograph, (b) transfer characteristics, and (c) OFF-state leakage of the processed 36 mm p-GaN gate power HEMT. </w:t>
      </w:r>
    </w:p>
    <w:p w14:paraId="3D4219FE" w14:textId="77777777" w:rsidR="00953573" w:rsidRPr="00953573" w:rsidRDefault="00953573" w:rsidP="00953573">
      <w:pPr>
        <w:pStyle w:val="BodyText2"/>
        <w:tabs>
          <w:tab w:val="left" w:pos="270"/>
        </w:tabs>
        <w:rPr>
          <w:bCs/>
          <w:color w:val="000000"/>
          <w:szCs w:val="18"/>
        </w:rPr>
      </w:pPr>
    </w:p>
    <w:p w14:paraId="5F2BD40E" w14:textId="388995FD" w:rsidR="00F57BC7" w:rsidRDefault="00F57BC7">
      <w:pPr>
        <w:tabs>
          <w:tab w:val="left" w:pos="270"/>
        </w:tabs>
        <w:jc w:val="both"/>
      </w:pPr>
    </w:p>
    <w:p w14:paraId="20DE5E73" w14:textId="57C43BD4" w:rsidR="00953573" w:rsidRDefault="00AD37B2" w:rsidP="0082440F">
      <w:pPr>
        <w:tabs>
          <w:tab w:val="left" w:pos="270"/>
        </w:tabs>
        <w:jc w:val="center"/>
      </w:pPr>
      <w:r>
        <w:rPr>
          <w:noProof/>
          <w:lang w:val="de-AT" w:eastAsia="de-AT"/>
        </w:rPr>
        <w:drawing>
          <wp:inline distT="0" distB="0" distL="0" distR="0" wp14:anchorId="107DE317" wp14:editId="7191F26A">
            <wp:extent cx="2124068" cy="1081037"/>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9884" cy="1104355"/>
                    </a:xfrm>
                    <a:prstGeom prst="rect">
                      <a:avLst/>
                    </a:prstGeom>
                    <a:noFill/>
                  </pic:spPr>
                </pic:pic>
              </a:graphicData>
            </a:graphic>
          </wp:inline>
        </w:drawing>
      </w:r>
      <w:bookmarkStart w:id="5" w:name="_GoBack"/>
      <w:bookmarkEnd w:id="5"/>
    </w:p>
    <w:p w14:paraId="08F3BD2D" w14:textId="323D6D42" w:rsidR="0082440F" w:rsidRPr="00AD37B2" w:rsidRDefault="0082440F" w:rsidP="0082440F">
      <w:pPr>
        <w:tabs>
          <w:tab w:val="left" w:pos="270"/>
        </w:tabs>
        <w:jc w:val="center"/>
      </w:pPr>
      <w:r w:rsidRPr="0082440F">
        <w:drawing>
          <wp:inline distT="0" distB="0" distL="0" distR="0" wp14:anchorId="2EC045B8" wp14:editId="7497699E">
            <wp:extent cx="2726114" cy="197701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1712" cy="1981075"/>
                    </a:xfrm>
                    <a:prstGeom prst="rect">
                      <a:avLst/>
                    </a:prstGeom>
                    <a:noFill/>
                    <a:ln>
                      <a:noFill/>
                    </a:ln>
                  </pic:spPr>
                </pic:pic>
              </a:graphicData>
            </a:graphic>
          </wp:inline>
        </w:drawing>
      </w:r>
    </w:p>
    <w:p w14:paraId="0DDA3148" w14:textId="3E5DDEE9" w:rsidR="00953573" w:rsidRPr="00076C6E" w:rsidRDefault="00953573" w:rsidP="00953573">
      <w:pPr>
        <w:pStyle w:val="BodyText2"/>
        <w:tabs>
          <w:tab w:val="left" w:pos="270"/>
        </w:tabs>
        <w:rPr>
          <w:sz w:val="22"/>
          <w:szCs w:val="22"/>
        </w:rPr>
      </w:pPr>
      <w:r w:rsidRPr="00076C6E">
        <w:rPr>
          <w:sz w:val="22"/>
          <w:szCs w:val="22"/>
        </w:rPr>
        <w:t xml:space="preserve">Fig. 6. </w:t>
      </w:r>
      <w:r w:rsidR="00076C6E" w:rsidRPr="00076C6E">
        <w:rPr>
          <w:sz w:val="22"/>
          <w:szCs w:val="22"/>
        </w:rPr>
        <w:t xml:space="preserve">(a) </w:t>
      </w:r>
      <w:r w:rsidR="00076C6E" w:rsidRPr="00076C6E">
        <w:t xml:space="preserve">On-the-fly pulse </w:t>
      </w:r>
      <w:r w:rsidR="00076C6E" w:rsidRPr="00076C6E">
        <w:rPr>
          <w:i/>
          <w:iCs/>
        </w:rPr>
        <w:t>I-V</w:t>
      </w:r>
      <w:r w:rsidR="00076C6E" w:rsidRPr="00076C6E">
        <w:t xml:space="preserve"> waveforms for measuring HEMT dynamic </w:t>
      </w:r>
      <w:r w:rsidR="00076C6E" w:rsidRPr="00076C6E">
        <w:rPr>
          <w:i/>
          <w:iCs/>
        </w:rPr>
        <w:t>R</w:t>
      </w:r>
      <w:r w:rsidR="00076C6E" w:rsidRPr="00076C6E">
        <w:rPr>
          <w:vertAlign w:val="subscript"/>
        </w:rPr>
        <w:t>ON</w:t>
      </w:r>
      <w:r w:rsidR="00076C6E" w:rsidRPr="00076C6E">
        <w:rPr>
          <w:sz w:val="22"/>
          <w:szCs w:val="22"/>
        </w:rPr>
        <w:t xml:space="preserve"> </w:t>
      </w:r>
      <w:r w:rsidR="00076C6E" w:rsidRPr="00BC7698">
        <w:t>and (b) d</w:t>
      </w:r>
      <w:r w:rsidRPr="00BC7698">
        <w:t xml:space="preserve">ynamic </w:t>
      </w:r>
      <w:r w:rsidRPr="00BC7698">
        <w:rPr>
          <w:i/>
          <w:iCs/>
        </w:rPr>
        <w:t>R</w:t>
      </w:r>
      <w:r w:rsidRPr="00BC7698">
        <w:rPr>
          <w:vertAlign w:val="subscript"/>
        </w:rPr>
        <w:t>ON</w:t>
      </w:r>
      <w:r w:rsidRPr="00BC7698">
        <w:t xml:space="preserve"> is </w:t>
      </w:r>
      <w:r w:rsidR="00B058BD">
        <w:t xml:space="preserve">&lt; </w:t>
      </w:r>
      <w:r w:rsidRPr="00BC7698">
        <w:t>20% until 600 V.</w:t>
      </w:r>
    </w:p>
    <w:p w14:paraId="64EFDD9C" w14:textId="3AD92055" w:rsidR="00ED1BED" w:rsidRDefault="00ED1BED" w:rsidP="00953573">
      <w:pPr>
        <w:pStyle w:val="BodyText2"/>
        <w:tabs>
          <w:tab w:val="left" w:pos="270"/>
        </w:tabs>
        <w:rPr>
          <w:sz w:val="18"/>
          <w:szCs w:val="18"/>
        </w:rPr>
      </w:pPr>
    </w:p>
    <w:p w14:paraId="36BA1D2B" w14:textId="77777777" w:rsidR="00ED1BED" w:rsidRDefault="00ED1BED" w:rsidP="00953573">
      <w:pPr>
        <w:pStyle w:val="BodyText2"/>
        <w:tabs>
          <w:tab w:val="left" w:pos="270"/>
        </w:tabs>
        <w:rPr>
          <w:sz w:val="18"/>
          <w:szCs w:val="18"/>
        </w:rPr>
      </w:pPr>
    </w:p>
    <w:p w14:paraId="12575F46" w14:textId="1524791C" w:rsidR="00ED1BED" w:rsidRDefault="00ED1BED" w:rsidP="00ED1BED">
      <w:pPr>
        <w:pStyle w:val="Heading2"/>
      </w:pPr>
      <w:r>
        <w:t>GaN Power ICs</w:t>
      </w:r>
    </w:p>
    <w:p w14:paraId="041988D4" w14:textId="62A2E01D" w:rsidR="00ED1BED" w:rsidRDefault="00ED1BED" w:rsidP="00ED1BED"/>
    <w:p w14:paraId="7C6C8BFE" w14:textId="421D8FB6" w:rsidR="00ED1BED" w:rsidRDefault="00ED1BED" w:rsidP="00ED1BED">
      <w:pPr>
        <w:tabs>
          <w:tab w:val="left" w:pos="270"/>
        </w:tabs>
        <w:jc w:val="both"/>
        <w:rPr>
          <w:lang w:eastAsia="zh-CN"/>
        </w:rPr>
      </w:pPr>
      <w:r>
        <w:tab/>
      </w:r>
      <w:r w:rsidRPr="00ED1BED">
        <w:t xml:space="preserve">Furthermore, fully functional GaN power ICs of a HEMT with integrated driver, half-bridge, and half-bridge with </w:t>
      </w:r>
      <w:r w:rsidRPr="00ED1BED">
        <w:t>integrated drivers have been processed as shown in Fig. 7.</w:t>
      </w:r>
      <w:r w:rsidR="00325A4F">
        <w:t xml:space="preserve"> Fig. 7(a) depicts the schematic IC of the power HEMT with integrated driver</w:t>
      </w:r>
      <w:r w:rsidR="000D30BE">
        <w:t>, which can significantly reduce the parasitic inductance in the gate loop</w:t>
      </w:r>
      <w:r w:rsidR="00325A4F">
        <w:t xml:space="preserve">. The driver consists of a push-pull </w:t>
      </w:r>
      <w:r w:rsidR="00390B0C">
        <w:t xml:space="preserve">driver and two </w:t>
      </w:r>
      <w:r w:rsidR="0077344F">
        <w:t>resistor-transistor logic (</w:t>
      </w:r>
      <w:r w:rsidR="00390B0C">
        <w:t>RTL</w:t>
      </w:r>
      <w:r w:rsidR="0077344F">
        <w:t>)</w:t>
      </w:r>
      <w:r w:rsidR="00390B0C">
        <w:t xml:space="preserve"> inverters</w:t>
      </w:r>
      <w:r w:rsidR="0077344F">
        <w:t xml:space="preserve">, </w:t>
      </w:r>
      <w:r w:rsidR="00F87629">
        <w:rPr>
          <w:rFonts w:hint="eastAsia"/>
          <w:lang w:eastAsia="zh-CN"/>
        </w:rPr>
        <w:t>beca</w:t>
      </w:r>
      <w:r w:rsidR="00F87629">
        <w:rPr>
          <w:lang w:eastAsia="zh-CN"/>
        </w:rPr>
        <w:t xml:space="preserve">use </w:t>
      </w:r>
      <w:r w:rsidR="00F87629">
        <w:rPr>
          <w:rFonts w:hint="eastAsia"/>
          <w:lang w:eastAsia="zh-CN"/>
        </w:rPr>
        <w:t>of</w:t>
      </w:r>
      <w:r w:rsidR="00F87629">
        <w:rPr>
          <w:lang w:eastAsia="zh-CN"/>
        </w:rPr>
        <w:t xml:space="preserve"> lacking p-MOSFET</w:t>
      </w:r>
      <w:r w:rsidR="00390B0C">
        <w:t>.</w:t>
      </w:r>
      <w:r w:rsidR="000D30BE">
        <w:t xml:space="preserve"> The driver and the power HEMT are electrically isolated by two trench</w:t>
      </w:r>
      <w:r w:rsidR="00230714">
        <w:t>es</w:t>
      </w:r>
      <w:r w:rsidR="000D30BE">
        <w:t xml:space="preserve">. The monolithically integrated half-bridge comprising a </w:t>
      </w:r>
      <w:r w:rsidR="003E1AD0">
        <w:t>low side HEMT and a high side HEMT</w:t>
      </w:r>
      <w:r w:rsidR="00EB7732">
        <w:t xml:space="preserve"> is </w:t>
      </w:r>
      <w:r w:rsidR="00D33A45">
        <w:t>shown in Fig. 7(b)</w:t>
      </w:r>
      <w:r w:rsidR="003E1AD0">
        <w:t>.</w:t>
      </w:r>
      <w:r w:rsidR="00E54BC7">
        <w:t xml:space="preserve"> The source terminals of these two devices are connected to their respective substrate, in order to suppress the </w:t>
      </w:r>
      <w:r w:rsidR="00C214DA">
        <w:t>back-gating effect</w:t>
      </w:r>
      <w:r w:rsidR="0017611E">
        <w:t xml:space="preserve"> </w:t>
      </w:r>
      <w:r w:rsidR="00C75632">
        <w:t>[</w:t>
      </w:r>
      <w:r w:rsidR="00706DFB">
        <w:t>13</w:t>
      </w:r>
      <w:r w:rsidR="00C75632">
        <w:t>]</w:t>
      </w:r>
      <w:r w:rsidR="00C214DA">
        <w:t>.</w:t>
      </w:r>
      <w:r w:rsidR="00D33A45">
        <w:t xml:space="preserve"> Fig. 7(d) demonstrates the half-bridge with integrated drivers and a level shifter.</w:t>
      </w:r>
      <w:r w:rsidR="00A1739E">
        <w:t xml:space="preserve"> These designs are </w:t>
      </w:r>
      <w:r w:rsidR="000075A9">
        <w:rPr>
          <w:rFonts w:hint="eastAsia"/>
          <w:lang w:eastAsia="zh-CN"/>
        </w:rPr>
        <w:t>beneficial</w:t>
      </w:r>
      <w:r w:rsidR="000075A9">
        <w:t xml:space="preserve"> </w:t>
      </w:r>
      <w:r w:rsidR="00A1739E">
        <w:t xml:space="preserve">to dramatically suppress the oscillation, </w:t>
      </w:r>
      <w:r w:rsidR="000075A9">
        <w:rPr>
          <w:rFonts w:hint="eastAsia"/>
          <w:lang w:eastAsia="zh-CN"/>
        </w:rPr>
        <w:t>to</w:t>
      </w:r>
      <w:r w:rsidR="000075A9">
        <w:t xml:space="preserve"> </w:t>
      </w:r>
      <w:r w:rsidR="00A1739E">
        <w:t xml:space="preserve">reduce the area consumption, and </w:t>
      </w:r>
      <w:r w:rsidR="000075A9">
        <w:rPr>
          <w:rFonts w:hint="eastAsia"/>
          <w:lang w:eastAsia="zh-CN"/>
        </w:rPr>
        <w:t>to</w:t>
      </w:r>
      <w:r w:rsidR="000075A9">
        <w:t xml:space="preserve"> </w:t>
      </w:r>
      <w:r w:rsidR="00A1739E">
        <w:t>promote the switching frequency.</w:t>
      </w:r>
    </w:p>
    <w:p w14:paraId="3B49D2CB" w14:textId="4D112083" w:rsidR="00A142B0" w:rsidRDefault="00A142B0" w:rsidP="00D361A6">
      <w:pPr>
        <w:tabs>
          <w:tab w:val="left" w:pos="270"/>
        </w:tabs>
        <w:jc w:val="center"/>
      </w:pPr>
    </w:p>
    <w:p w14:paraId="789C6C4E" w14:textId="2439CF05" w:rsidR="00FF650C" w:rsidRPr="00AD37B2" w:rsidRDefault="00976FFC" w:rsidP="00D361A6">
      <w:pPr>
        <w:tabs>
          <w:tab w:val="left" w:pos="270"/>
        </w:tabs>
        <w:jc w:val="center"/>
        <w:rPr>
          <w:b/>
          <w:bCs/>
        </w:rPr>
      </w:pPr>
      <w:r w:rsidRPr="00AD37B2">
        <w:rPr>
          <w:b/>
          <w:bCs/>
          <w:noProof/>
          <w:lang w:val="de-AT" w:eastAsia="de-AT"/>
        </w:rPr>
        <w:drawing>
          <wp:inline distT="0" distB="0" distL="0" distR="0" wp14:anchorId="754C16D2" wp14:editId="2663E655">
            <wp:extent cx="2902628" cy="398653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8811" cy="4022491"/>
                    </a:xfrm>
                    <a:prstGeom prst="rect">
                      <a:avLst/>
                    </a:prstGeom>
                    <a:noFill/>
                  </pic:spPr>
                </pic:pic>
              </a:graphicData>
            </a:graphic>
          </wp:inline>
        </w:drawing>
      </w:r>
    </w:p>
    <w:p w14:paraId="57800B48" w14:textId="3D8F1875" w:rsidR="00A142B0" w:rsidRDefault="00A142B0" w:rsidP="00A142B0">
      <w:pPr>
        <w:tabs>
          <w:tab w:val="left" w:pos="270"/>
        </w:tabs>
        <w:jc w:val="center"/>
      </w:pPr>
    </w:p>
    <w:p w14:paraId="06A13FEC" w14:textId="5C2C0B03" w:rsidR="00953573" w:rsidRDefault="00953573" w:rsidP="00953573">
      <w:pPr>
        <w:pStyle w:val="BodyText2"/>
        <w:tabs>
          <w:tab w:val="left" w:pos="270"/>
        </w:tabs>
        <w:jc w:val="center"/>
      </w:pPr>
    </w:p>
    <w:p w14:paraId="1076DCEF" w14:textId="799050A4" w:rsidR="00953573" w:rsidRDefault="00953573" w:rsidP="00DB4D47">
      <w:pPr>
        <w:pStyle w:val="BodyText2"/>
        <w:tabs>
          <w:tab w:val="left" w:pos="270"/>
        </w:tabs>
      </w:pPr>
      <w:bookmarkStart w:id="6" w:name="OLE_LINK5"/>
      <w:r w:rsidRPr="00DB4D47">
        <w:t xml:space="preserve">Fig. 7. Photographs of the </w:t>
      </w:r>
      <w:bookmarkStart w:id="7" w:name="OLE_LINK4"/>
      <w:bookmarkStart w:id="8" w:name="OLE_LINK6"/>
      <w:r w:rsidR="00D13DF0">
        <w:rPr>
          <w:rFonts w:hint="eastAsia"/>
          <w:lang w:eastAsia="zh-CN"/>
        </w:rPr>
        <w:t>(</w:t>
      </w:r>
      <w:r w:rsidR="00D13DF0">
        <w:rPr>
          <w:lang w:eastAsia="zh-CN"/>
        </w:rPr>
        <w:t xml:space="preserve">a) </w:t>
      </w:r>
      <w:r w:rsidR="00C76F67">
        <w:rPr>
          <w:lang w:eastAsia="zh-CN"/>
        </w:rPr>
        <w:t>schematic IC</w:t>
      </w:r>
      <w:r w:rsidR="00D13DF0">
        <w:t xml:space="preserve"> and (b) </w:t>
      </w:r>
      <w:r w:rsidR="00C76F67">
        <w:t xml:space="preserve">photograph of the </w:t>
      </w:r>
      <w:bookmarkEnd w:id="7"/>
      <w:bookmarkEnd w:id="8"/>
      <w:r w:rsidRPr="00DB4D47">
        <w:t>fabricated</w:t>
      </w:r>
      <w:r w:rsidR="00D13DF0">
        <w:t xml:space="preserve"> </w:t>
      </w:r>
      <w:r w:rsidRPr="00DB4D47">
        <w:t>HEMT with integrated driver,</w:t>
      </w:r>
      <w:r w:rsidR="00C76F67">
        <w:t xml:space="preserve"> </w:t>
      </w:r>
      <w:r w:rsidR="00C76F67">
        <w:rPr>
          <w:rFonts w:hint="eastAsia"/>
          <w:lang w:eastAsia="zh-CN"/>
        </w:rPr>
        <w:t>(</w:t>
      </w:r>
      <w:r w:rsidR="00C76F67">
        <w:rPr>
          <w:lang w:eastAsia="zh-CN"/>
        </w:rPr>
        <w:t>c) schematic IC</w:t>
      </w:r>
      <w:r w:rsidR="00C76F67">
        <w:t xml:space="preserve"> and (d) photograph of the fabricated</w:t>
      </w:r>
      <w:r w:rsidRPr="00DB4D47">
        <w:t xml:space="preserve"> half-bridge, and </w:t>
      </w:r>
      <w:r w:rsidR="00C76F67">
        <w:rPr>
          <w:rFonts w:hint="eastAsia"/>
          <w:lang w:eastAsia="zh-CN"/>
        </w:rPr>
        <w:t>(</w:t>
      </w:r>
      <w:r w:rsidR="00C76F67">
        <w:rPr>
          <w:lang w:eastAsia="zh-CN"/>
        </w:rPr>
        <w:t>e) schematic IC</w:t>
      </w:r>
      <w:r w:rsidR="00C76F67">
        <w:t xml:space="preserve"> and (f) photograph of the </w:t>
      </w:r>
      <w:r w:rsidR="00F614F6">
        <w:t xml:space="preserve">fabricated </w:t>
      </w:r>
      <w:r w:rsidRPr="00DB4D47">
        <w:t>half-bridge with integrated drivers</w:t>
      </w:r>
      <w:r w:rsidR="00D33A45">
        <w:t xml:space="preserve"> and a level shifter</w:t>
      </w:r>
      <w:r w:rsidRPr="00DB4D47">
        <w:t>.</w:t>
      </w:r>
      <w:bookmarkEnd w:id="6"/>
    </w:p>
    <w:p w14:paraId="165A4A3A" w14:textId="2CB6D5F3" w:rsidR="00953573" w:rsidRDefault="00953573">
      <w:pPr>
        <w:tabs>
          <w:tab w:val="left" w:pos="270"/>
        </w:tabs>
        <w:jc w:val="both"/>
      </w:pPr>
    </w:p>
    <w:p w14:paraId="7D3A9B86" w14:textId="77777777" w:rsidR="00DB4D47" w:rsidRDefault="00DB4D47">
      <w:pPr>
        <w:tabs>
          <w:tab w:val="left" w:pos="270"/>
        </w:tabs>
        <w:jc w:val="both"/>
      </w:pPr>
    </w:p>
    <w:p w14:paraId="0E59397E" w14:textId="77777777" w:rsidR="00953573" w:rsidRDefault="00953573" w:rsidP="00953573">
      <w:pPr>
        <w:pStyle w:val="Heading2"/>
      </w:pPr>
      <w:r>
        <w:t>Conclusions</w:t>
      </w:r>
    </w:p>
    <w:p w14:paraId="0FFF45D5" w14:textId="77777777" w:rsidR="00953573" w:rsidRDefault="00953573" w:rsidP="00953573">
      <w:pPr>
        <w:pStyle w:val="BodyText2"/>
        <w:tabs>
          <w:tab w:val="left" w:pos="270"/>
        </w:tabs>
      </w:pPr>
      <w:r>
        <w:tab/>
      </w:r>
    </w:p>
    <w:p w14:paraId="4F26B28D" w14:textId="75B454E4" w:rsidR="00953573" w:rsidRDefault="00953573" w:rsidP="00953573">
      <w:pPr>
        <w:pStyle w:val="BodyText2"/>
        <w:tabs>
          <w:tab w:val="left" w:pos="270"/>
        </w:tabs>
      </w:pPr>
      <w:r>
        <w:lastRenderedPageBreak/>
        <w:tab/>
        <w:t xml:space="preserve">In summary, 650 V high-performance e-mode p-GaN gate HEMTs and power ICs on 200 mm engineered substrates have been successfully demonstrated. The effective trench isolation in combination with the matched coefficient of thermal expansion make the engineered substrates a promising platform for next-generation power system. </w:t>
      </w:r>
      <w:r w:rsidRPr="002B673C">
        <w:t>Future work will target the demonstration of 1200 V-class devices.</w:t>
      </w:r>
    </w:p>
    <w:p w14:paraId="1A9CB194" w14:textId="40E4E0A9" w:rsidR="00953573" w:rsidRDefault="00953573" w:rsidP="00953573">
      <w:pPr>
        <w:tabs>
          <w:tab w:val="left" w:pos="270"/>
        </w:tabs>
        <w:jc w:val="both"/>
        <w:rPr>
          <w:sz w:val="16"/>
        </w:rPr>
      </w:pPr>
    </w:p>
    <w:p w14:paraId="278B7C60" w14:textId="751BDF0B" w:rsidR="00255B31" w:rsidRDefault="00FC1366" w:rsidP="00953573">
      <w:pPr>
        <w:tabs>
          <w:tab w:val="left" w:pos="270"/>
        </w:tabs>
        <w:jc w:val="both"/>
        <w:rPr>
          <w:sz w:val="16"/>
        </w:rPr>
      </w:pPr>
      <w:r>
        <w:rPr>
          <w:sz w:val="16"/>
        </w:rPr>
        <w:t xml:space="preserve"> </w:t>
      </w:r>
    </w:p>
    <w:p w14:paraId="085532E4" w14:textId="77777777" w:rsidR="00953573" w:rsidRDefault="00953573" w:rsidP="00953573">
      <w:pPr>
        <w:pStyle w:val="Heading2"/>
      </w:pPr>
      <w:r>
        <w:t>Acknowledgements</w:t>
      </w:r>
    </w:p>
    <w:p w14:paraId="478E0A2D" w14:textId="77777777" w:rsidR="00953573" w:rsidRDefault="00953573" w:rsidP="00953573">
      <w:pPr>
        <w:tabs>
          <w:tab w:val="left" w:pos="270"/>
        </w:tabs>
        <w:jc w:val="both"/>
        <w:rPr>
          <w:sz w:val="16"/>
        </w:rPr>
      </w:pPr>
      <w:r>
        <w:rPr>
          <w:sz w:val="16"/>
        </w:rPr>
        <w:tab/>
      </w:r>
    </w:p>
    <w:p w14:paraId="3F192256" w14:textId="68308381" w:rsidR="00953573" w:rsidRDefault="00953573" w:rsidP="00953573">
      <w:pPr>
        <w:pStyle w:val="BodyText2"/>
        <w:tabs>
          <w:tab w:val="left" w:pos="270"/>
        </w:tabs>
      </w:pPr>
      <w:r>
        <w:rPr>
          <w:sz w:val="16"/>
        </w:rPr>
        <w:tab/>
      </w:r>
      <w:r>
        <w:t xml:space="preserve">This work has received partial funding from the ECSEL Joint Undertaking (JU) under grant agreement No 783174. The JU receives support from the European Union’s Horizon 2020 research and innovation </w:t>
      </w:r>
      <w:proofErr w:type="spellStart"/>
      <w:r>
        <w:t>programme</w:t>
      </w:r>
      <w:proofErr w:type="spellEnd"/>
      <w:r>
        <w:t xml:space="preserve"> and Austria, Spain, Belgium, Germany, Slovakia, Italy, Netherlands, Slovenia.  </w:t>
      </w:r>
    </w:p>
    <w:p w14:paraId="66BAD1E0" w14:textId="4A8300F9" w:rsidR="00FC31A6" w:rsidRPr="00853238" w:rsidRDefault="00953573" w:rsidP="00853238">
      <w:pPr>
        <w:pStyle w:val="BodyText2"/>
        <w:tabs>
          <w:tab w:val="left" w:pos="270"/>
        </w:tabs>
      </w:pPr>
      <w:r>
        <w:tab/>
        <w:t xml:space="preserve">This work has also received partial funding from the ECSEL Joint Undertaking (JU) under grant agreement No. 826392. The JU receives support from the European Union’s Horizon 2020 research and innovation </w:t>
      </w:r>
      <w:proofErr w:type="spellStart"/>
      <w:r>
        <w:t>programme</w:t>
      </w:r>
      <w:proofErr w:type="spellEnd"/>
      <w:r>
        <w:t xml:space="preserve"> and Austria, Belgium, Germany, Italy, Norway, Slovakia, Spain, Sweden, Switzerland.</w:t>
      </w:r>
    </w:p>
    <w:p w14:paraId="28126EB2" w14:textId="374FFBA0" w:rsidR="00FC31A6" w:rsidRDefault="00FC31A6" w:rsidP="003A2692">
      <w:pPr>
        <w:tabs>
          <w:tab w:val="left" w:pos="270"/>
        </w:tabs>
        <w:jc w:val="center"/>
        <w:rPr>
          <w:sz w:val="16"/>
        </w:rPr>
      </w:pPr>
    </w:p>
    <w:p w14:paraId="50F304B7" w14:textId="7C87EC6B" w:rsidR="008F3F03" w:rsidRDefault="008F3F03">
      <w:pPr>
        <w:tabs>
          <w:tab w:val="left" w:pos="270"/>
        </w:tabs>
        <w:jc w:val="both"/>
        <w:rPr>
          <w:lang w:eastAsia="zh-CN"/>
        </w:rPr>
      </w:pPr>
    </w:p>
    <w:p w14:paraId="1608C8EF" w14:textId="77777777" w:rsidR="008F3F03" w:rsidRDefault="008F3F03">
      <w:pPr>
        <w:pStyle w:val="Heading2"/>
      </w:pPr>
      <w:r>
        <w:t>References</w:t>
      </w:r>
    </w:p>
    <w:p w14:paraId="4A869003" w14:textId="77777777" w:rsidR="00496C8D" w:rsidRPr="00496C8D" w:rsidRDefault="00496C8D" w:rsidP="00496C8D"/>
    <w:p w14:paraId="035482D5" w14:textId="49E9D107" w:rsidR="009808EE" w:rsidRDefault="009808EE" w:rsidP="008F2540">
      <w:pPr>
        <w:pStyle w:val="Heading3"/>
        <w:shd w:val="clear" w:color="auto" w:fill="FFFFFF"/>
        <w:spacing w:after="30" w:line="285" w:lineRule="atLeast"/>
        <w:ind w:right="-54"/>
      </w:pPr>
      <w:r w:rsidRPr="008F2540">
        <w:rPr>
          <w:i w:val="0"/>
          <w:iCs/>
        </w:rPr>
        <w:t>[1]</w:t>
      </w:r>
      <w:r w:rsidRPr="009808EE">
        <w:t xml:space="preserve"> T.J. Anderson, </w:t>
      </w:r>
      <w:r w:rsidRPr="009808EE">
        <w:rPr>
          <w:iCs/>
        </w:rPr>
        <w:t>et al</w:t>
      </w:r>
      <w:r w:rsidRPr="009808EE">
        <w:t xml:space="preserve">., </w:t>
      </w:r>
      <w:r w:rsidR="008F2540">
        <w:t>“</w:t>
      </w:r>
      <w:hyperlink r:id="rId27" w:history="1">
        <w:r w:rsidR="008F2540" w:rsidRPr="008F2540">
          <w:rPr>
            <w:i w:val="0"/>
          </w:rPr>
          <w:t xml:space="preserve">Electrothermal evaluation of thick </w:t>
        </w:r>
        <w:proofErr w:type="spellStart"/>
        <w:r w:rsidR="008F2540" w:rsidRPr="008F2540">
          <w:rPr>
            <w:i w:val="0"/>
          </w:rPr>
          <w:t>GaN</w:t>
        </w:r>
        <w:proofErr w:type="spellEnd"/>
        <w:r w:rsidR="008F2540" w:rsidRPr="008F2540">
          <w:rPr>
            <w:i w:val="0"/>
          </w:rPr>
          <w:t xml:space="preserve"> epitaxial layers and </w:t>
        </w:r>
        <w:proofErr w:type="spellStart"/>
        <w:r w:rsidR="008F2540" w:rsidRPr="008F2540">
          <w:rPr>
            <w:i w:val="0"/>
          </w:rPr>
          <w:t>AlGaN</w:t>
        </w:r>
        <w:proofErr w:type="spellEnd"/>
        <w:r w:rsidR="008F2540" w:rsidRPr="008F2540">
          <w:rPr>
            <w:i w:val="0"/>
          </w:rPr>
          <w:t>/</w:t>
        </w:r>
        <w:proofErr w:type="spellStart"/>
        <w:r w:rsidR="008F2540" w:rsidRPr="008F2540">
          <w:rPr>
            <w:i w:val="0"/>
          </w:rPr>
          <w:t>GaN</w:t>
        </w:r>
        <w:proofErr w:type="spellEnd"/>
        <w:r w:rsidR="008F2540" w:rsidRPr="008F2540">
          <w:rPr>
            <w:i w:val="0"/>
          </w:rPr>
          <w:t xml:space="preserve"> high-electron-mobility transistors on large-area engineered substrates</w:t>
        </w:r>
      </w:hyperlink>
      <w:r w:rsidR="008F2540">
        <w:t xml:space="preserve">,” </w:t>
      </w:r>
      <w:r w:rsidRPr="009808EE">
        <w:rPr>
          <w:iCs/>
        </w:rPr>
        <w:t>Appl. Phys. Express</w:t>
      </w:r>
      <w:r w:rsidRPr="009808EE">
        <w:t>, vol. 10, no. 12, pp. 126501-1–126501-3, Nov. 2017.</w:t>
      </w:r>
    </w:p>
    <w:p w14:paraId="2499AC1B" w14:textId="77777777" w:rsidR="00853238" w:rsidRPr="009808EE" w:rsidRDefault="00853238" w:rsidP="009808EE">
      <w:pPr>
        <w:pStyle w:val="BodyText2"/>
        <w:tabs>
          <w:tab w:val="left" w:pos="270"/>
        </w:tabs>
      </w:pPr>
    </w:p>
    <w:p w14:paraId="5C2BDBA0" w14:textId="366C4626" w:rsidR="009808EE" w:rsidRDefault="009808EE" w:rsidP="009808EE">
      <w:pPr>
        <w:pStyle w:val="BodyText2"/>
        <w:tabs>
          <w:tab w:val="left" w:pos="270"/>
        </w:tabs>
      </w:pPr>
      <w:r w:rsidRPr="009808EE">
        <w:t xml:space="preserve">[2] V. Odnoblyudov </w:t>
      </w:r>
      <w:r w:rsidRPr="009808EE">
        <w:rPr>
          <w:i/>
          <w:iCs/>
        </w:rPr>
        <w:t>et al</w:t>
      </w:r>
      <w:r w:rsidRPr="009808EE">
        <w:t>., U.S. Patent, 15, 621,335, 15 Feb., 2018.</w:t>
      </w:r>
    </w:p>
    <w:p w14:paraId="72CBFE70" w14:textId="77777777" w:rsidR="00853238" w:rsidRPr="009808EE" w:rsidRDefault="00853238" w:rsidP="009808EE">
      <w:pPr>
        <w:pStyle w:val="BodyText2"/>
        <w:tabs>
          <w:tab w:val="left" w:pos="270"/>
        </w:tabs>
      </w:pPr>
    </w:p>
    <w:p w14:paraId="6B5ECA85" w14:textId="5AEB21BE" w:rsidR="006C6A28" w:rsidRPr="006C6A28" w:rsidRDefault="009808EE" w:rsidP="006C6A28">
      <w:pPr>
        <w:jc w:val="both"/>
        <w:rPr>
          <w:sz w:val="22"/>
          <w:szCs w:val="22"/>
        </w:rPr>
      </w:pPr>
      <w:r w:rsidRPr="009808EE">
        <w:t xml:space="preserve">[3] X. Li </w:t>
      </w:r>
      <w:r w:rsidRPr="006C6A28">
        <w:rPr>
          <w:i/>
          <w:iCs/>
        </w:rPr>
        <w:t>et al</w:t>
      </w:r>
      <w:r w:rsidRPr="009808EE">
        <w:t xml:space="preserve">., </w:t>
      </w:r>
      <w:r w:rsidR="006C6A28">
        <w:t>“</w:t>
      </w:r>
      <w:r w:rsidR="006C6A28" w:rsidRPr="006C6A28">
        <w:t>200 V Enhancement-mode p-GaN HEMTs Fabricated on 200 mm GaN-on-SOI with Trench Isolation for Monolithic Integration,”</w:t>
      </w:r>
      <w:r w:rsidR="006C6A28" w:rsidRPr="006C6A28">
        <w:rPr>
          <w:i/>
          <w:iCs/>
          <w:sz w:val="18"/>
          <w:szCs w:val="18"/>
        </w:rPr>
        <w:t xml:space="preserve"> </w:t>
      </w:r>
      <w:r w:rsidRPr="006C6A28">
        <w:rPr>
          <w:i/>
          <w:iCs/>
        </w:rPr>
        <w:t>IEEE Electron Device Lett</w:t>
      </w:r>
      <w:r w:rsidRPr="009808EE">
        <w:t>., vol. 38, no. 7, pp. 918–921, Jul. 2017.</w:t>
      </w:r>
      <w:bookmarkStart w:id="9" w:name="OLE_LINK1"/>
    </w:p>
    <w:bookmarkEnd w:id="9"/>
    <w:p w14:paraId="19957673" w14:textId="2E8C4581" w:rsidR="009808EE" w:rsidRDefault="009808EE" w:rsidP="009808EE">
      <w:pPr>
        <w:pStyle w:val="BodyText2"/>
        <w:tabs>
          <w:tab w:val="left" w:pos="270"/>
        </w:tabs>
      </w:pPr>
    </w:p>
    <w:p w14:paraId="5442AB13" w14:textId="1A7EE176" w:rsidR="006C6A28" w:rsidRPr="006C6A28" w:rsidRDefault="00EF03A2" w:rsidP="006C6A28">
      <w:pPr>
        <w:jc w:val="both"/>
      </w:pPr>
      <w:r>
        <w:t xml:space="preserve">[4] </w:t>
      </w:r>
      <w:r w:rsidRPr="009808EE">
        <w:t xml:space="preserve">X. Li </w:t>
      </w:r>
      <w:r w:rsidRPr="006C6A28">
        <w:rPr>
          <w:i/>
          <w:iCs/>
        </w:rPr>
        <w:t>et al</w:t>
      </w:r>
      <w:r w:rsidRPr="006C6A28">
        <w:t xml:space="preserve">., </w:t>
      </w:r>
      <w:r w:rsidR="006C6A28" w:rsidRPr="006C6A28">
        <w:t>“Demonstration of GaN Integrated Half-bridge with On-chip Drivers on 200 mm Engineered Substrates</w:t>
      </w:r>
      <w:r w:rsidR="006C6A28" w:rsidRPr="006C6A28">
        <w:rPr>
          <w:rFonts w:eastAsia="DengXian"/>
          <w:lang w:eastAsia="zh-CN"/>
        </w:rPr>
        <w:t xml:space="preserve">,” </w:t>
      </w:r>
      <w:r w:rsidR="006C6A28" w:rsidRPr="006C6A28">
        <w:rPr>
          <w:bCs/>
          <w:i/>
          <w:iCs/>
        </w:rPr>
        <w:t xml:space="preserve">IEEE Electron Device </w:t>
      </w:r>
      <w:r w:rsidR="006C6A28" w:rsidRPr="006C6A28">
        <w:rPr>
          <w:bCs/>
          <w:i/>
        </w:rPr>
        <w:t>Letters</w:t>
      </w:r>
      <w:r w:rsidR="006C6A28" w:rsidRPr="006C6A28">
        <w:rPr>
          <w:bCs/>
        </w:rPr>
        <w:t>.</w:t>
      </w:r>
      <w:r w:rsidR="006C6A28" w:rsidRPr="006C6A28">
        <w:t xml:space="preserve"> 40, 1499-1502 (2019).   </w:t>
      </w:r>
    </w:p>
    <w:p w14:paraId="1BFFD994" w14:textId="77777777" w:rsidR="00853238" w:rsidRPr="009808EE" w:rsidRDefault="00853238" w:rsidP="009808EE">
      <w:pPr>
        <w:pStyle w:val="BodyText2"/>
        <w:tabs>
          <w:tab w:val="left" w:pos="270"/>
        </w:tabs>
      </w:pPr>
    </w:p>
    <w:p w14:paraId="15EDE4C9" w14:textId="136D7444" w:rsidR="009808EE" w:rsidRDefault="009808EE" w:rsidP="009808EE">
      <w:pPr>
        <w:pStyle w:val="BodyText2"/>
        <w:tabs>
          <w:tab w:val="left" w:pos="270"/>
        </w:tabs>
      </w:pPr>
      <w:r w:rsidRPr="009808EE">
        <w:t>[</w:t>
      </w:r>
      <w:r w:rsidR="00A80811">
        <w:t>5</w:t>
      </w:r>
      <w:r w:rsidRPr="009808EE">
        <w:t xml:space="preserve">] </w:t>
      </w:r>
      <w:proofErr w:type="spellStart"/>
      <w:r w:rsidR="00A80811">
        <w:t>Navitas</w:t>
      </w:r>
      <w:proofErr w:type="spellEnd"/>
      <w:r w:rsidR="00A80811">
        <w:t xml:space="preserve">, </w:t>
      </w:r>
      <w:r w:rsidR="00A80811" w:rsidRPr="00A80811">
        <w:t>NV6113</w:t>
      </w:r>
      <w:r w:rsidR="00A80811">
        <w:t xml:space="preserve"> Datasheet. (2019). [Online]. Available: </w:t>
      </w:r>
      <w:hyperlink r:id="rId28" w:history="1">
        <w:r w:rsidR="00A80811">
          <w:rPr>
            <w:rStyle w:val="Hyperlink"/>
          </w:rPr>
          <w:t>https://www.navitassemi.com/download/</w:t>
        </w:r>
      </w:hyperlink>
      <w:r w:rsidR="00A80811">
        <w:t>.</w:t>
      </w:r>
    </w:p>
    <w:p w14:paraId="69121A62" w14:textId="4D51A27D" w:rsidR="00280A5C" w:rsidRDefault="00280A5C" w:rsidP="009808EE">
      <w:pPr>
        <w:pStyle w:val="BodyText2"/>
        <w:tabs>
          <w:tab w:val="left" w:pos="270"/>
        </w:tabs>
      </w:pPr>
    </w:p>
    <w:p w14:paraId="7BE215C9" w14:textId="57A1E051" w:rsidR="00720399" w:rsidRDefault="00720399" w:rsidP="009808EE">
      <w:pPr>
        <w:pStyle w:val="BodyText2"/>
        <w:tabs>
          <w:tab w:val="left" w:pos="270"/>
        </w:tabs>
      </w:pPr>
      <w:r>
        <w:t xml:space="preserve">[6] </w:t>
      </w:r>
      <w:r w:rsidR="00275153">
        <w:t xml:space="preserve">Efficient power conversion, </w:t>
      </w:r>
      <w:r w:rsidR="00EB236C">
        <w:t>EPC2</w:t>
      </w:r>
      <w:r w:rsidR="00275153">
        <w:t>10</w:t>
      </w:r>
      <w:r w:rsidR="00EB236C">
        <w:t>8 datasheet</w:t>
      </w:r>
      <w:r w:rsidR="00275153">
        <w:t>. (2019). [Online].Available:</w:t>
      </w:r>
      <w:hyperlink r:id="rId29" w:history="1">
        <w:r w:rsidR="00275153" w:rsidRPr="005A6130">
          <w:rPr>
            <w:rStyle w:val="Hyperlink"/>
          </w:rPr>
          <w:t>https://epc</w:t>
        </w:r>
        <w:r w:rsidR="00275153" w:rsidRPr="005A6130">
          <w:rPr>
            <w:rStyle w:val="Hyperlink"/>
            <w:lang w:eastAsia="zh-CN"/>
          </w:rPr>
          <w:t>-</w:t>
        </w:r>
        <w:r w:rsidR="00275153" w:rsidRPr="005A6130">
          <w:rPr>
            <w:rStyle w:val="Hyperlink"/>
          </w:rPr>
          <w:t>co.com/epc/Products/eGaNFETsandICs/EPC2108.aspx</w:t>
        </w:r>
      </w:hyperlink>
      <w:r w:rsidR="00275153">
        <w:t>.</w:t>
      </w:r>
    </w:p>
    <w:p w14:paraId="22C77C95" w14:textId="77777777" w:rsidR="00275153" w:rsidRDefault="00275153" w:rsidP="009808EE">
      <w:pPr>
        <w:pStyle w:val="BodyText2"/>
        <w:tabs>
          <w:tab w:val="left" w:pos="270"/>
        </w:tabs>
        <w:rPr>
          <w:lang w:eastAsia="zh-CN"/>
        </w:rPr>
      </w:pPr>
    </w:p>
    <w:p w14:paraId="7E8BB5CA" w14:textId="149D464F" w:rsidR="00A80811" w:rsidRDefault="00A80811" w:rsidP="009808EE">
      <w:pPr>
        <w:pStyle w:val="BodyText2"/>
        <w:tabs>
          <w:tab w:val="left" w:pos="270"/>
        </w:tabs>
      </w:pPr>
      <w:r>
        <w:t>[</w:t>
      </w:r>
      <w:r w:rsidR="00720399">
        <w:t>7</w:t>
      </w:r>
      <w:r>
        <w:t xml:space="preserve">] </w:t>
      </w:r>
      <w:r w:rsidR="005060F6">
        <w:t xml:space="preserve">S. </w:t>
      </w:r>
      <w:proofErr w:type="spellStart"/>
      <w:r w:rsidR="005060F6">
        <w:t>Ujita</w:t>
      </w:r>
      <w:proofErr w:type="spellEnd"/>
      <w:r w:rsidR="005060F6">
        <w:t xml:space="preserve">, </w:t>
      </w:r>
      <w:r w:rsidR="00280A5C" w:rsidRPr="00280A5C">
        <w:rPr>
          <w:i/>
          <w:iCs/>
        </w:rPr>
        <w:t>et al</w:t>
      </w:r>
      <w:r w:rsidR="00280A5C">
        <w:t xml:space="preserve">., </w:t>
      </w:r>
      <w:r w:rsidR="005060F6">
        <w:t xml:space="preserve">“A compact GaN-based DC-DC converter IC with highspeed gate drivers enabling high efficiencies,” in </w:t>
      </w:r>
      <w:r w:rsidR="005060F6" w:rsidRPr="005060F6">
        <w:rPr>
          <w:i/>
          <w:iCs/>
        </w:rPr>
        <w:t xml:space="preserve">Proc. IEEE 26th Int. </w:t>
      </w:r>
      <w:proofErr w:type="spellStart"/>
      <w:r w:rsidR="005060F6" w:rsidRPr="005060F6">
        <w:rPr>
          <w:i/>
          <w:iCs/>
        </w:rPr>
        <w:t>Symp</w:t>
      </w:r>
      <w:proofErr w:type="spellEnd"/>
      <w:r w:rsidR="005060F6" w:rsidRPr="005060F6">
        <w:rPr>
          <w:i/>
          <w:iCs/>
        </w:rPr>
        <w:t>. Power Semiconductor Devices IC’s</w:t>
      </w:r>
      <w:r w:rsidR="005060F6">
        <w:t>, Jun. 2014, pp. 51–54.</w:t>
      </w:r>
    </w:p>
    <w:p w14:paraId="709F050F" w14:textId="1F9211C7" w:rsidR="00BB077A" w:rsidRDefault="00BB077A" w:rsidP="009808EE">
      <w:pPr>
        <w:pStyle w:val="BodyText2"/>
        <w:tabs>
          <w:tab w:val="left" w:pos="270"/>
        </w:tabs>
      </w:pPr>
    </w:p>
    <w:p w14:paraId="41C0C68D" w14:textId="087EE6BE" w:rsidR="00BB077A" w:rsidRPr="00F06ED3" w:rsidRDefault="00BB077A" w:rsidP="009808EE">
      <w:pPr>
        <w:pStyle w:val="BodyText2"/>
        <w:tabs>
          <w:tab w:val="left" w:pos="270"/>
        </w:tabs>
      </w:pPr>
      <w:r w:rsidRPr="00F06ED3">
        <w:t xml:space="preserve">[8] </w:t>
      </w:r>
      <w:r w:rsidR="00F06ED3" w:rsidRPr="00F06ED3">
        <w:t xml:space="preserve">B. Weiss, </w:t>
      </w:r>
      <w:r w:rsidR="00F06ED3" w:rsidRPr="00674BD3">
        <w:rPr>
          <w:i/>
          <w:iCs/>
        </w:rPr>
        <w:t>et al</w:t>
      </w:r>
      <w:r w:rsidR="00F06ED3">
        <w:t xml:space="preserve">., </w:t>
      </w:r>
      <w:r w:rsidR="00F06ED3" w:rsidRPr="00F06ED3">
        <w:t xml:space="preserve">“Substrate biasing effects in a high-voltage, monolithically-integrated half-bridge GaN-Chip,” in </w:t>
      </w:r>
      <w:r w:rsidR="00F06ED3" w:rsidRPr="00674BD3">
        <w:rPr>
          <w:i/>
          <w:iCs/>
        </w:rPr>
        <w:t>Proc. IEEE Workshop Wide Bandgap Power Devices Appl. (</w:t>
      </w:r>
      <w:proofErr w:type="spellStart"/>
      <w:r w:rsidR="00F06ED3" w:rsidRPr="00674BD3">
        <w:rPr>
          <w:i/>
          <w:iCs/>
        </w:rPr>
        <w:t>WiPDA</w:t>
      </w:r>
      <w:proofErr w:type="spellEnd"/>
      <w:r w:rsidR="00F06ED3" w:rsidRPr="00674BD3">
        <w:rPr>
          <w:i/>
          <w:iCs/>
        </w:rPr>
        <w:t>)</w:t>
      </w:r>
      <w:r w:rsidR="00F06ED3" w:rsidRPr="00F06ED3">
        <w:t>, Oct./Nov. 2017, pp. 265–272.</w:t>
      </w:r>
    </w:p>
    <w:p w14:paraId="6E2F2CCD" w14:textId="7E1CC851" w:rsidR="00853238" w:rsidRDefault="00853238" w:rsidP="009808EE">
      <w:pPr>
        <w:pStyle w:val="BodyText2"/>
        <w:tabs>
          <w:tab w:val="left" w:pos="270"/>
        </w:tabs>
      </w:pPr>
    </w:p>
    <w:p w14:paraId="313DD7FE" w14:textId="0B83C6AB" w:rsidR="00A80811" w:rsidRDefault="00280A5C" w:rsidP="009808EE">
      <w:pPr>
        <w:pStyle w:val="BodyText2"/>
        <w:tabs>
          <w:tab w:val="left" w:pos="270"/>
        </w:tabs>
      </w:pPr>
      <w:r w:rsidRPr="00F06ED3">
        <w:t>[</w:t>
      </w:r>
      <w:r w:rsidR="00F06ED3" w:rsidRPr="00F06ED3">
        <w:t>9</w:t>
      </w:r>
      <w:r w:rsidRPr="00F06ED3">
        <w:t>]</w:t>
      </w:r>
      <w:r w:rsidR="00720399" w:rsidRPr="00F06ED3">
        <w:t xml:space="preserve"> </w:t>
      </w:r>
      <w:r w:rsidR="00F06ED3" w:rsidRPr="00F06ED3">
        <w:t xml:space="preserve">H. Wang, </w:t>
      </w:r>
      <w:r w:rsidR="00F06ED3" w:rsidRPr="00674BD3">
        <w:rPr>
          <w:i/>
          <w:iCs/>
        </w:rPr>
        <w:t>et al</w:t>
      </w:r>
      <w:r w:rsidR="00F06ED3" w:rsidRPr="00F06ED3">
        <w:t>., “A GaN pulse width modulation integrated circuit for GaN power converters”. </w:t>
      </w:r>
      <w:r w:rsidR="00F06ED3" w:rsidRPr="00674BD3">
        <w:rPr>
          <w:i/>
          <w:iCs/>
        </w:rPr>
        <w:t>IEEE Transactions on Electron Devices</w:t>
      </w:r>
      <w:r w:rsidR="00F06ED3" w:rsidRPr="00F06ED3">
        <w:t>, 62(4), 1143-1149.</w:t>
      </w:r>
    </w:p>
    <w:p w14:paraId="6D80A9AF" w14:textId="118293B4" w:rsidR="00280A5C" w:rsidRDefault="00280A5C" w:rsidP="009808EE">
      <w:pPr>
        <w:pStyle w:val="BodyText2"/>
        <w:tabs>
          <w:tab w:val="left" w:pos="270"/>
        </w:tabs>
      </w:pPr>
    </w:p>
    <w:p w14:paraId="1B539475" w14:textId="0BDE538C" w:rsidR="00A80811" w:rsidRDefault="00CD5284" w:rsidP="009808EE">
      <w:pPr>
        <w:pStyle w:val="BodyText2"/>
        <w:tabs>
          <w:tab w:val="left" w:pos="270"/>
        </w:tabs>
      </w:pPr>
      <w:r>
        <w:t xml:space="preserve">[10] </w:t>
      </w:r>
      <w:r w:rsidRPr="00CD5284">
        <w:rPr>
          <w:szCs w:val="18"/>
          <w:lang w:val="en-GB"/>
        </w:rPr>
        <w:t xml:space="preserve">X. Li, </w:t>
      </w:r>
      <w:r w:rsidRPr="00CD5284">
        <w:rPr>
          <w:i/>
          <w:iCs/>
          <w:szCs w:val="18"/>
          <w:lang w:val="en-GB"/>
        </w:rPr>
        <w:t>et al</w:t>
      </w:r>
      <w:r w:rsidRPr="00CD5284">
        <w:rPr>
          <w:szCs w:val="18"/>
          <w:lang w:val="en-GB"/>
        </w:rPr>
        <w:t>., GaN-on-SOI: Monolithically Integrated All-GaN ICs for Power Conversion. in</w:t>
      </w:r>
      <w:r w:rsidRPr="00CD5284">
        <w:rPr>
          <w:i/>
          <w:iCs/>
          <w:szCs w:val="18"/>
          <w:lang w:val="en-GB"/>
        </w:rPr>
        <w:t xml:space="preserve"> IEDM Tech. Dig., </w:t>
      </w:r>
      <w:r w:rsidRPr="00CD5284">
        <w:rPr>
          <w:rFonts w:hint="eastAsia"/>
          <w:szCs w:val="18"/>
          <w:lang w:val="en-GB"/>
        </w:rPr>
        <w:t>pp</w:t>
      </w:r>
      <w:r w:rsidRPr="00CD5284">
        <w:rPr>
          <w:szCs w:val="18"/>
          <w:lang w:val="en-GB"/>
        </w:rPr>
        <w:t>.4.4.1-4.4.4,</w:t>
      </w:r>
      <w:r w:rsidRPr="00CD5284">
        <w:rPr>
          <w:i/>
          <w:iCs/>
          <w:szCs w:val="18"/>
          <w:lang w:val="en-GB"/>
        </w:rPr>
        <w:t xml:space="preserve"> </w:t>
      </w:r>
      <w:r w:rsidRPr="00CD5284">
        <w:rPr>
          <w:szCs w:val="18"/>
          <w:lang w:val="en-GB"/>
        </w:rPr>
        <w:t>Dec. 2019.</w:t>
      </w:r>
    </w:p>
    <w:p w14:paraId="0790C953" w14:textId="77777777" w:rsidR="00A80811" w:rsidRPr="009808EE" w:rsidRDefault="00A80811" w:rsidP="009808EE">
      <w:pPr>
        <w:pStyle w:val="BodyText2"/>
        <w:tabs>
          <w:tab w:val="left" w:pos="270"/>
        </w:tabs>
      </w:pPr>
    </w:p>
    <w:p w14:paraId="626E9FAD" w14:textId="40C48660" w:rsidR="009808EE" w:rsidRDefault="009808EE" w:rsidP="009808EE">
      <w:pPr>
        <w:pStyle w:val="BodyText2"/>
        <w:tabs>
          <w:tab w:val="left" w:pos="270"/>
        </w:tabs>
      </w:pPr>
      <w:r w:rsidRPr="009808EE">
        <w:rPr>
          <w:lang w:val="nl-BE"/>
        </w:rPr>
        <w:t>[</w:t>
      </w:r>
      <w:r w:rsidR="000E6AD7">
        <w:rPr>
          <w:lang w:val="nl-BE"/>
        </w:rPr>
        <w:t>11</w:t>
      </w:r>
      <w:r w:rsidRPr="009808EE">
        <w:rPr>
          <w:lang w:val="nl-BE"/>
        </w:rPr>
        <w:t xml:space="preserve">] N. E. Posthuma </w:t>
      </w:r>
      <w:r w:rsidRPr="009808EE">
        <w:rPr>
          <w:i/>
          <w:iCs/>
          <w:lang w:val="nl-BE"/>
        </w:rPr>
        <w:t>et al</w:t>
      </w:r>
      <w:r w:rsidRPr="009808EE">
        <w:rPr>
          <w:lang w:val="nl-BE"/>
        </w:rPr>
        <w:t xml:space="preserve">., in </w:t>
      </w:r>
      <w:r w:rsidRPr="009808EE">
        <w:rPr>
          <w:i/>
          <w:iCs/>
          <w:lang w:val="nl-BE"/>
        </w:rPr>
        <w:t xml:space="preserve">Proc. </w:t>
      </w:r>
      <w:r w:rsidRPr="009808EE">
        <w:rPr>
          <w:i/>
          <w:iCs/>
        </w:rPr>
        <w:t xml:space="preserve">IEEE 30th Int. </w:t>
      </w:r>
      <w:proofErr w:type="spellStart"/>
      <w:r w:rsidRPr="009808EE">
        <w:rPr>
          <w:i/>
          <w:iCs/>
        </w:rPr>
        <w:t>Symp</w:t>
      </w:r>
      <w:proofErr w:type="spellEnd"/>
      <w:r w:rsidRPr="009808EE">
        <w:rPr>
          <w:i/>
          <w:iCs/>
        </w:rPr>
        <w:t>. Power Semiconductor Devices ICs</w:t>
      </w:r>
      <w:r w:rsidRPr="009808EE">
        <w:t>, May 2018, pp. 188–191.</w:t>
      </w:r>
    </w:p>
    <w:p w14:paraId="1DBF31FC" w14:textId="77777777" w:rsidR="00853238" w:rsidRPr="009808EE" w:rsidRDefault="00853238" w:rsidP="009808EE">
      <w:pPr>
        <w:pStyle w:val="BodyText2"/>
        <w:tabs>
          <w:tab w:val="left" w:pos="270"/>
        </w:tabs>
      </w:pPr>
    </w:p>
    <w:p w14:paraId="48F09394" w14:textId="7A80DA27" w:rsidR="009808EE" w:rsidRDefault="009808EE" w:rsidP="009808EE">
      <w:pPr>
        <w:pStyle w:val="BodyText2"/>
        <w:tabs>
          <w:tab w:val="left" w:pos="270"/>
        </w:tabs>
      </w:pPr>
      <w:r w:rsidRPr="009808EE">
        <w:t>[</w:t>
      </w:r>
      <w:r w:rsidR="000E6AD7">
        <w:t>12</w:t>
      </w:r>
      <w:r w:rsidRPr="009808EE">
        <w:t xml:space="preserve">] B. D. Jaeger </w:t>
      </w:r>
      <w:r w:rsidRPr="009808EE">
        <w:rPr>
          <w:i/>
          <w:iCs/>
        </w:rPr>
        <w:t>et al</w:t>
      </w:r>
      <w:r w:rsidRPr="009808EE">
        <w:t>., U.S. Patent No. 9,634,107. 25 Apr. 2017.</w:t>
      </w:r>
    </w:p>
    <w:p w14:paraId="3C3DF8EA" w14:textId="3082FCB4" w:rsidR="00A9002A" w:rsidRDefault="00A9002A" w:rsidP="009808EE">
      <w:pPr>
        <w:pStyle w:val="BodyText2"/>
        <w:tabs>
          <w:tab w:val="left" w:pos="270"/>
        </w:tabs>
      </w:pPr>
    </w:p>
    <w:p w14:paraId="2C255B1C" w14:textId="2A2220DD" w:rsidR="00A9002A" w:rsidRPr="00A9002A" w:rsidRDefault="00A9002A" w:rsidP="009808EE">
      <w:pPr>
        <w:pStyle w:val="BodyText2"/>
        <w:tabs>
          <w:tab w:val="left" w:pos="270"/>
        </w:tabs>
        <w:rPr>
          <w:lang w:val="en-GB"/>
        </w:rPr>
      </w:pPr>
      <w:r w:rsidRPr="00A9002A">
        <w:rPr>
          <w:lang w:val="en-GB"/>
        </w:rPr>
        <w:t xml:space="preserve">[13] X. Li, </w:t>
      </w:r>
      <w:r w:rsidRPr="00EB236C">
        <w:rPr>
          <w:i/>
          <w:iCs/>
          <w:lang w:val="en-GB"/>
        </w:rPr>
        <w:t>et al</w:t>
      </w:r>
      <w:r>
        <w:rPr>
          <w:lang w:val="en-GB"/>
        </w:rPr>
        <w:t xml:space="preserve">., </w:t>
      </w:r>
      <w:r w:rsidR="00674BD3">
        <w:rPr>
          <w:lang w:val="en-GB"/>
        </w:rPr>
        <w:t>“</w:t>
      </w:r>
      <w:r w:rsidRPr="00A9002A">
        <w:rPr>
          <w:lang w:val="en-GB"/>
        </w:rPr>
        <w:t xml:space="preserve">Suppression of the </w:t>
      </w:r>
      <w:proofErr w:type="spellStart"/>
      <w:r w:rsidRPr="00A9002A">
        <w:rPr>
          <w:lang w:val="en-GB"/>
        </w:rPr>
        <w:t>backgating</w:t>
      </w:r>
      <w:proofErr w:type="spellEnd"/>
      <w:r w:rsidRPr="00A9002A">
        <w:rPr>
          <w:lang w:val="en-GB"/>
        </w:rPr>
        <w:t xml:space="preserve"> effect of enhancement-mode p-GaN HEMTs on 200-mm GaN-on-SOI for monolithic integration</w:t>
      </w:r>
      <w:r w:rsidR="00674BD3">
        <w:rPr>
          <w:lang w:val="en-GB"/>
        </w:rPr>
        <w:t>,”</w:t>
      </w:r>
      <w:r w:rsidRPr="00A9002A">
        <w:rPr>
          <w:lang w:val="en-GB"/>
        </w:rPr>
        <w:t> </w:t>
      </w:r>
      <w:r w:rsidRPr="00674BD3">
        <w:rPr>
          <w:i/>
          <w:iCs/>
          <w:lang w:val="en-GB"/>
        </w:rPr>
        <w:t>IEEE electron device letters</w:t>
      </w:r>
      <w:r w:rsidRPr="00A9002A">
        <w:rPr>
          <w:lang w:val="en-GB"/>
        </w:rPr>
        <w:t>, 39(7), 999-1002</w:t>
      </w:r>
      <w:r>
        <w:rPr>
          <w:lang w:val="en-GB"/>
        </w:rPr>
        <w:t>, 2018</w:t>
      </w:r>
      <w:r w:rsidRPr="00A9002A">
        <w:rPr>
          <w:lang w:val="en-GB"/>
        </w:rPr>
        <w:t>.</w:t>
      </w:r>
    </w:p>
    <w:p w14:paraId="28732902" w14:textId="77777777" w:rsidR="00A400FB" w:rsidRDefault="00A400FB" w:rsidP="00A400FB"/>
    <w:sectPr w:rsidR="00A400F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DFB03" w14:textId="77777777" w:rsidR="00B52DA1" w:rsidRDefault="00B52DA1" w:rsidP="00AF10DF">
      <w:r>
        <w:separator/>
      </w:r>
    </w:p>
  </w:endnote>
  <w:endnote w:type="continuationSeparator" w:id="0">
    <w:p w14:paraId="3AB9E48E" w14:textId="77777777" w:rsidR="00B52DA1" w:rsidRDefault="00B52DA1"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B9C15" w14:textId="77777777" w:rsidR="00B52DA1" w:rsidRDefault="00B52DA1" w:rsidP="00AF10DF">
      <w:r>
        <w:separator/>
      </w:r>
    </w:p>
  </w:footnote>
  <w:footnote w:type="continuationSeparator" w:id="0">
    <w:p w14:paraId="7595129A" w14:textId="77777777" w:rsidR="00B52DA1" w:rsidRDefault="00B52DA1"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C1E4" w14:textId="77777777" w:rsidR="00AF10DF" w:rsidRDefault="00AF1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6ADC" w14:textId="77777777" w:rsidR="00AF10DF" w:rsidRDefault="00AF1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2F59EF"/>
    <w:multiLevelType w:val="hybridMultilevel"/>
    <w:tmpl w:val="43686E1E"/>
    <w:lvl w:ilvl="0" w:tplc="08F05B76">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5781301"/>
    <w:multiLevelType w:val="hybridMultilevel"/>
    <w:tmpl w:val="7DBE6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05ACE"/>
    <w:rsid w:val="000075A9"/>
    <w:rsid w:val="00010DC7"/>
    <w:rsid w:val="00010FE9"/>
    <w:rsid w:val="00011A9E"/>
    <w:rsid w:val="00021E95"/>
    <w:rsid w:val="00022074"/>
    <w:rsid w:val="000248E0"/>
    <w:rsid w:val="00027505"/>
    <w:rsid w:val="00030A7A"/>
    <w:rsid w:val="0003400E"/>
    <w:rsid w:val="00035DA5"/>
    <w:rsid w:val="00042536"/>
    <w:rsid w:val="00066FE3"/>
    <w:rsid w:val="00076C6E"/>
    <w:rsid w:val="000827C3"/>
    <w:rsid w:val="00095060"/>
    <w:rsid w:val="000A08A1"/>
    <w:rsid w:val="000B7708"/>
    <w:rsid w:val="000C293E"/>
    <w:rsid w:val="000C6582"/>
    <w:rsid w:val="000D1C2B"/>
    <w:rsid w:val="000D30BE"/>
    <w:rsid w:val="000E6AD7"/>
    <w:rsid w:val="000F597A"/>
    <w:rsid w:val="00104CA2"/>
    <w:rsid w:val="00105ED7"/>
    <w:rsid w:val="00117D8D"/>
    <w:rsid w:val="001229A4"/>
    <w:rsid w:val="00122A2A"/>
    <w:rsid w:val="001230FB"/>
    <w:rsid w:val="0012494C"/>
    <w:rsid w:val="00130471"/>
    <w:rsid w:val="001539CA"/>
    <w:rsid w:val="00162654"/>
    <w:rsid w:val="0016673C"/>
    <w:rsid w:val="00175196"/>
    <w:rsid w:val="0017611E"/>
    <w:rsid w:val="001777A8"/>
    <w:rsid w:val="001779B5"/>
    <w:rsid w:val="00180E21"/>
    <w:rsid w:val="00190256"/>
    <w:rsid w:val="001925BA"/>
    <w:rsid w:val="00195E2D"/>
    <w:rsid w:val="0019687A"/>
    <w:rsid w:val="001A28E9"/>
    <w:rsid w:val="001A2C7B"/>
    <w:rsid w:val="001F7DAE"/>
    <w:rsid w:val="00207BE7"/>
    <w:rsid w:val="00207E3E"/>
    <w:rsid w:val="0021444D"/>
    <w:rsid w:val="002172A4"/>
    <w:rsid w:val="00224AE2"/>
    <w:rsid w:val="00226C7E"/>
    <w:rsid w:val="00226E4B"/>
    <w:rsid w:val="00227000"/>
    <w:rsid w:val="00230714"/>
    <w:rsid w:val="00246EBE"/>
    <w:rsid w:val="00250026"/>
    <w:rsid w:val="002556BA"/>
    <w:rsid w:val="00255B31"/>
    <w:rsid w:val="002625A5"/>
    <w:rsid w:val="00275153"/>
    <w:rsid w:val="00275998"/>
    <w:rsid w:val="00280A5C"/>
    <w:rsid w:val="002954DC"/>
    <w:rsid w:val="002A4FEF"/>
    <w:rsid w:val="002A5750"/>
    <w:rsid w:val="002A79F6"/>
    <w:rsid w:val="002B7BE4"/>
    <w:rsid w:val="002C2D5E"/>
    <w:rsid w:val="002C454F"/>
    <w:rsid w:val="002D7DD0"/>
    <w:rsid w:val="002E34CA"/>
    <w:rsid w:val="002E4588"/>
    <w:rsid w:val="002F7A53"/>
    <w:rsid w:val="00324BC9"/>
    <w:rsid w:val="00325A4F"/>
    <w:rsid w:val="003441D4"/>
    <w:rsid w:val="003604FC"/>
    <w:rsid w:val="00360678"/>
    <w:rsid w:val="00374AEA"/>
    <w:rsid w:val="00375DBE"/>
    <w:rsid w:val="00384942"/>
    <w:rsid w:val="0039041B"/>
    <w:rsid w:val="00390B0C"/>
    <w:rsid w:val="00392C89"/>
    <w:rsid w:val="003A2692"/>
    <w:rsid w:val="003B15C0"/>
    <w:rsid w:val="003B48E7"/>
    <w:rsid w:val="003D3ECF"/>
    <w:rsid w:val="003E1AD0"/>
    <w:rsid w:val="003E5FE7"/>
    <w:rsid w:val="003E7D99"/>
    <w:rsid w:val="003F656E"/>
    <w:rsid w:val="003F79F2"/>
    <w:rsid w:val="004028AF"/>
    <w:rsid w:val="00410977"/>
    <w:rsid w:val="00436AFA"/>
    <w:rsid w:val="004756C5"/>
    <w:rsid w:val="004773A8"/>
    <w:rsid w:val="00496C8D"/>
    <w:rsid w:val="004A3DCD"/>
    <w:rsid w:val="004B4E0E"/>
    <w:rsid w:val="004B61A7"/>
    <w:rsid w:val="004C5823"/>
    <w:rsid w:val="004D0D87"/>
    <w:rsid w:val="004F37B2"/>
    <w:rsid w:val="004F7A0B"/>
    <w:rsid w:val="005060F6"/>
    <w:rsid w:val="00507204"/>
    <w:rsid w:val="00507E06"/>
    <w:rsid w:val="00527D86"/>
    <w:rsid w:val="00530212"/>
    <w:rsid w:val="00534EFF"/>
    <w:rsid w:val="00535896"/>
    <w:rsid w:val="005415E3"/>
    <w:rsid w:val="005425E8"/>
    <w:rsid w:val="005434CE"/>
    <w:rsid w:val="00555030"/>
    <w:rsid w:val="00562DAB"/>
    <w:rsid w:val="0056504E"/>
    <w:rsid w:val="005705C7"/>
    <w:rsid w:val="00573CF9"/>
    <w:rsid w:val="00576D07"/>
    <w:rsid w:val="0057776D"/>
    <w:rsid w:val="005879BB"/>
    <w:rsid w:val="005909A1"/>
    <w:rsid w:val="005A635B"/>
    <w:rsid w:val="005B59A8"/>
    <w:rsid w:val="00601F3A"/>
    <w:rsid w:val="00604852"/>
    <w:rsid w:val="00627E52"/>
    <w:rsid w:val="00631490"/>
    <w:rsid w:val="00632AE4"/>
    <w:rsid w:val="0064735D"/>
    <w:rsid w:val="00654C4A"/>
    <w:rsid w:val="00664D1E"/>
    <w:rsid w:val="00674BD3"/>
    <w:rsid w:val="00692170"/>
    <w:rsid w:val="0069715F"/>
    <w:rsid w:val="006A3406"/>
    <w:rsid w:val="006A762A"/>
    <w:rsid w:val="006B0CE3"/>
    <w:rsid w:val="006B0FF3"/>
    <w:rsid w:val="006B6F49"/>
    <w:rsid w:val="006C6A28"/>
    <w:rsid w:val="006D4CBD"/>
    <w:rsid w:val="006D61A5"/>
    <w:rsid w:val="006D69D6"/>
    <w:rsid w:val="006F1776"/>
    <w:rsid w:val="006F4C34"/>
    <w:rsid w:val="006F6D88"/>
    <w:rsid w:val="00706DFB"/>
    <w:rsid w:val="007142E6"/>
    <w:rsid w:val="00720399"/>
    <w:rsid w:val="007231CD"/>
    <w:rsid w:val="007277AA"/>
    <w:rsid w:val="00751C40"/>
    <w:rsid w:val="00756876"/>
    <w:rsid w:val="007663FA"/>
    <w:rsid w:val="0077344F"/>
    <w:rsid w:val="00797324"/>
    <w:rsid w:val="00797795"/>
    <w:rsid w:val="007A21F4"/>
    <w:rsid w:val="007A2762"/>
    <w:rsid w:val="007A4BCC"/>
    <w:rsid w:val="007C4BE6"/>
    <w:rsid w:val="007C6809"/>
    <w:rsid w:val="007D08DF"/>
    <w:rsid w:val="007E00DB"/>
    <w:rsid w:val="007F5315"/>
    <w:rsid w:val="00800026"/>
    <w:rsid w:val="00823BA9"/>
    <w:rsid w:val="00823CF3"/>
    <w:rsid w:val="0082440F"/>
    <w:rsid w:val="0082462F"/>
    <w:rsid w:val="00826F8F"/>
    <w:rsid w:val="00832684"/>
    <w:rsid w:val="00835298"/>
    <w:rsid w:val="00853238"/>
    <w:rsid w:val="0087441C"/>
    <w:rsid w:val="00877E66"/>
    <w:rsid w:val="008B09C3"/>
    <w:rsid w:val="008D40E3"/>
    <w:rsid w:val="008F0114"/>
    <w:rsid w:val="008F2540"/>
    <w:rsid w:val="008F3F03"/>
    <w:rsid w:val="008F534A"/>
    <w:rsid w:val="0090078E"/>
    <w:rsid w:val="009112EF"/>
    <w:rsid w:val="0091321A"/>
    <w:rsid w:val="00915A3F"/>
    <w:rsid w:val="00926CE4"/>
    <w:rsid w:val="0095159C"/>
    <w:rsid w:val="009523C0"/>
    <w:rsid w:val="00953573"/>
    <w:rsid w:val="00954744"/>
    <w:rsid w:val="00965C49"/>
    <w:rsid w:val="00970EDE"/>
    <w:rsid w:val="0097218E"/>
    <w:rsid w:val="00976FFC"/>
    <w:rsid w:val="009808EE"/>
    <w:rsid w:val="00983ADC"/>
    <w:rsid w:val="00986E39"/>
    <w:rsid w:val="009910CF"/>
    <w:rsid w:val="009A5E07"/>
    <w:rsid w:val="009B5487"/>
    <w:rsid w:val="009C5D8C"/>
    <w:rsid w:val="009D01D0"/>
    <w:rsid w:val="009E039D"/>
    <w:rsid w:val="009F29BA"/>
    <w:rsid w:val="00A07E36"/>
    <w:rsid w:val="00A142B0"/>
    <w:rsid w:val="00A1739E"/>
    <w:rsid w:val="00A400FB"/>
    <w:rsid w:val="00A50BC5"/>
    <w:rsid w:val="00A50C65"/>
    <w:rsid w:val="00A67844"/>
    <w:rsid w:val="00A80811"/>
    <w:rsid w:val="00A9002A"/>
    <w:rsid w:val="00AA2FD0"/>
    <w:rsid w:val="00AA5F15"/>
    <w:rsid w:val="00AA7C45"/>
    <w:rsid w:val="00AB5802"/>
    <w:rsid w:val="00AC0B55"/>
    <w:rsid w:val="00AC3469"/>
    <w:rsid w:val="00AD0F65"/>
    <w:rsid w:val="00AD3607"/>
    <w:rsid w:val="00AD37B2"/>
    <w:rsid w:val="00AE793B"/>
    <w:rsid w:val="00AF10DF"/>
    <w:rsid w:val="00AF2530"/>
    <w:rsid w:val="00B03018"/>
    <w:rsid w:val="00B03990"/>
    <w:rsid w:val="00B0472F"/>
    <w:rsid w:val="00B058BD"/>
    <w:rsid w:val="00B1367D"/>
    <w:rsid w:val="00B336A4"/>
    <w:rsid w:val="00B52DA1"/>
    <w:rsid w:val="00B769D1"/>
    <w:rsid w:val="00B81CB9"/>
    <w:rsid w:val="00B94D70"/>
    <w:rsid w:val="00BA7CB8"/>
    <w:rsid w:val="00BB077A"/>
    <w:rsid w:val="00BC7698"/>
    <w:rsid w:val="00BD23B3"/>
    <w:rsid w:val="00BD2B24"/>
    <w:rsid w:val="00BD5A96"/>
    <w:rsid w:val="00BD6A11"/>
    <w:rsid w:val="00BD7768"/>
    <w:rsid w:val="00BE27C6"/>
    <w:rsid w:val="00BF1FAA"/>
    <w:rsid w:val="00BF3719"/>
    <w:rsid w:val="00BF4F5A"/>
    <w:rsid w:val="00C02CA8"/>
    <w:rsid w:val="00C05472"/>
    <w:rsid w:val="00C06F8F"/>
    <w:rsid w:val="00C214DA"/>
    <w:rsid w:val="00C241FA"/>
    <w:rsid w:val="00C31B81"/>
    <w:rsid w:val="00C56D5F"/>
    <w:rsid w:val="00C65CD1"/>
    <w:rsid w:val="00C75632"/>
    <w:rsid w:val="00C76BA0"/>
    <w:rsid w:val="00C76F67"/>
    <w:rsid w:val="00C83B8C"/>
    <w:rsid w:val="00C86406"/>
    <w:rsid w:val="00C87D21"/>
    <w:rsid w:val="00C87E0F"/>
    <w:rsid w:val="00C9272A"/>
    <w:rsid w:val="00CA0286"/>
    <w:rsid w:val="00CA0552"/>
    <w:rsid w:val="00CB1545"/>
    <w:rsid w:val="00CC0B35"/>
    <w:rsid w:val="00CC72AF"/>
    <w:rsid w:val="00CD1CFD"/>
    <w:rsid w:val="00CD5284"/>
    <w:rsid w:val="00CE3A8A"/>
    <w:rsid w:val="00CE7A33"/>
    <w:rsid w:val="00CF510C"/>
    <w:rsid w:val="00D13DF0"/>
    <w:rsid w:val="00D20E04"/>
    <w:rsid w:val="00D32F62"/>
    <w:rsid w:val="00D33A45"/>
    <w:rsid w:val="00D361A6"/>
    <w:rsid w:val="00D44875"/>
    <w:rsid w:val="00D53526"/>
    <w:rsid w:val="00D55B48"/>
    <w:rsid w:val="00D86865"/>
    <w:rsid w:val="00D974F2"/>
    <w:rsid w:val="00DA0432"/>
    <w:rsid w:val="00DA78C9"/>
    <w:rsid w:val="00DB4CF8"/>
    <w:rsid w:val="00DB4D47"/>
    <w:rsid w:val="00DC151F"/>
    <w:rsid w:val="00DC4F5D"/>
    <w:rsid w:val="00DD36DB"/>
    <w:rsid w:val="00DD37B7"/>
    <w:rsid w:val="00DD4E9C"/>
    <w:rsid w:val="00DD7A54"/>
    <w:rsid w:val="00DE44C8"/>
    <w:rsid w:val="00DF242B"/>
    <w:rsid w:val="00E07364"/>
    <w:rsid w:val="00E255FF"/>
    <w:rsid w:val="00E47984"/>
    <w:rsid w:val="00E54A36"/>
    <w:rsid w:val="00E54BC7"/>
    <w:rsid w:val="00E605CC"/>
    <w:rsid w:val="00E7158B"/>
    <w:rsid w:val="00E72BDA"/>
    <w:rsid w:val="00E93215"/>
    <w:rsid w:val="00EA067B"/>
    <w:rsid w:val="00EA2A6D"/>
    <w:rsid w:val="00EB0D13"/>
    <w:rsid w:val="00EB236C"/>
    <w:rsid w:val="00EB7732"/>
    <w:rsid w:val="00ED1BED"/>
    <w:rsid w:val="00EE00A4"/>
    <w:rsid w:val="00EE4973"/>
    <w:rsid w:val="00EE61DD"/>
    <w:rsid w:val="00EF03A2"/>
    <w:rsid w:val="00EF124E"/>
    <w:rsid w:val="00F01935"/>
    <w:rsid w:val="00F02F00"/>
    <w:rsid w:val="00F05EBE"/>
    <w:rsid w:val="00F06783"/>
    <w:rsid w:val="00F06ED3"/>
    <w:rsid w:val="00F07425"/>
    <w:rsid w:val="00F103C0"/>
    <w:rsid w:val="00F13C45"/>
    <w:rsid w:val="00F13EB9"/>
    <w:rsid w:val="00F30982"/>
    <w:rsid w:val="00F342AC"/>
    <w:rsid w:val="00F56AB2"/>
    <w:rsid w:val="00F57363"/>
    <w:rsid w:val="00F57BC7"/>
    <w:rsid w:val="00F614F6"/>
    <w:rsid w:val="00F74426"/>
    <w:rsid w:val="00F87629"/>
    <w:rsid w:val="00F965A0"/>
    <w:rsid w:val="00FC1366"/>
    <w:rsid w:val="00FC31A6"/>
    <w:rsid w:val="00FC385A"/>
    <w:rsid w:val="00FC4143"/>
    <w:rsid w:val="00FC77D2"/>
    <w:rsid w:val="00FD3C66"/>
    <w:rsid w:val="00FD7F2F"/>
    <w:rsid w:val="00FE08CF"/>
    <w:rsid w:val="00FE7419"/>
    <w:rsid w:val="00FF031A"/>
    <w:rsid w:val="00FF0960"/>
    <w:rsid w:val="00FF6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customStyle="1" w:styleId="UnresolvedMention1">
    <w:name w:val="Unresolved Mention1"/>
    <w:basedOn w:val="DefaultParagraphFont"/>
    <w:uiPriority w:val="99"/>
    <w:semiHidden/>
    <w:unhideWhenUsed/>
    <w:rsid w:val="00A80811"/>
    <w:rPr>
      <w:color w:val="605E5C"/>
      <w:shd w:val="clear" w:color="auto" w:fill="E1DFDD"/>
    </w:rPr>
  </w:style>
  <w:style w:type="character" w:styleId="CommentReference">
    <w:name w:val="annotation reference"/>
    <w:basedOn w:val="DefaultParagraphFont"/>
    <w:semiHidden/>
    <w:unhideWhenUsed/>
    <w:rsid w:val="00B03990"/>
    <w:rPr>
      <w:sz w:val="16"/>
      <w:szCs w:val="16"/>
    </w:rPr>
  </w:style>
  <w:style w:type="paragraph" w:styleId="CommentSubject">
    <w:name w:val="annotation subject"/>
    <w:basedOn w:val="CommentText"/>
    <w:next w:val="CommentText"/>
    <w:link w:val="CommentSubjectChar"/>
    <w:semiHidden/>
    <w:unhideWhenUsed/>
    <w:rsid w:val="00B03990"/>
    <w:rPr>
      <w:b/>
      <w:bCs/>
    </w:rPr>
  </w:style>
  <w:style w:type="character" w:customStyle="1" w:styleId="CommentTextChar">
    <w:name w:val="Comment Text Char"/>
    <w:basedOn w:val="DefaultParagraphFont"/>
    <w:link w:val="CommentText"/>
    <w:semiHidden/>
    <w:rsid w:val="00B03990"/>
  </w:style>
  <w:style w:type="character" w:customStyle="1" w:styleId="CommentSubjectChar">
    <w:name w:val="Comment Subject Char"/>
    <w:basedOn w:val="CommentTextChar"/>
    <w:link w:val="CommentSubject"/>
    <w:semiHidden/>
    <w:rsid w:val="00B039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04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https://epc-co.com/epc/Products/eGaNFETsandICs/EPC2108.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hyperlink" Target="https://www.navitassemi.com/download/" TargetMode="Externa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hyperlink" Target="https://iopscience.iop.org/article/10.7567/APEX.10.126501/met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1C0686-E789-4D6B-8134-292CB8A4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1740</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2020-02-18T17:11:00Z</dcterms:created>
  <dcterms:modified xsi:type="dcterms:W3CDTF">2020-03-05T16:32:00Z</dcterms:modified>
</cp:coreProperties>
</file>