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2095F" w14:textId="77777777" w:rsidR="00F62D5A" w:rsidRPr="00F62D5A" w:rsidRDefault="00F62D5A" w:rsidP="00F62D5A">
      <w:pPr>
        <w:spacing w:after="0" w:line="240" w:lineRule="auto"/>
        <w:jc w:val="center"/>
        <w:rPr>
          <w:rFonts w:ascii="Times New Roman" w:eastAsia="Times New Roman" w:hAnsi="Times New Roman" w:cs="Times New Roman"/>
          <w:b/>
          <w:sz w:val="28"/>
          <w:szCs w:val="20"/>
        </w:rPr>
      </w:pPr>
      <w:r w:rsidRPr="00F62D5A">
        <w:rPr>
          <w:rFonts w:ascii="Times New Roman" w:eastAsia="Times New Roman" w:hAnsi="Times New Roman" w:cs="Times New Roman"/>
          <w:b/>
          <w:sz w:val="28"/>
          <w:szCs w:val="20"/>
        </w:rPr>
        <w:t>Exploring the capability of Hyperspectral</w:t>
      </w:r>
      <w:r w:rsidRPr="00F62D5A">
        <w:rPr>
          <w:rFonts w:ascii="Times New Roman" w:eastAsia="Times New Roman" w:hAnsi="Times New Roman" w:cs="Times New Roman"/>
          <w:b/>
          <w:bCs/>
          <w:sz w:val="28"/>
          <w:szCs w:val="20"/>
        </w:rPr>
        <w:t xml:space="preserve"> Electroluminescence for process monitoring in vertical GaN devices </w:t>
      </w:r>
    </w:p>
    <w:p w14:paraId="2B720960" w14:textId="77777777" w:rsidR="00F62D5A" w:rsidRPr="00F62D5A" w:rsidRDefault="00F62D5A" w:rsidP="00F62D5A">
      <w:pPr>
        <w:spacing w:after="0" w:line="240" w:lineRule="auto"/>
        <w:rPr>
          <w:rFonts w:ascii="Times New Roman" w:eastAsia="Times New Roman" w:hAnsi="Times New Roman" w:cs="Times New Roman"/>
          <w:b/>
          <w:sz w:val="28"/>
          <w:szCs w:val="20"/>
        </w:rPr>
      </w:pPr>
    </w:p>
    <w:p w14:paraId="2B720961" w14:textId="77777777" w:rsidR="00F62D5A" w:rsidRPr="00F62D5A" w:rsidRDefault="00F62D5A" w:rsidP="00F62D5A">
      <w:pPr>
        <w:spacing w:after="0" w:line="240" w:lineRule="auto"/>
        <w:jc w:val="center"/>
        <w:rPr>
          <w:rFonts w:ascii="Times New Roman" w:eastAsia="Times New Roman" w:hAnsi="Times New Roman" w:cs="Times New Roman"/>
          <w:sz w:val="24"/>
          <w:szCs w:val="24"/>
        </w:rPr>
      </w:pPr>
      <w:r w:rsidRPr="00F62D5A">
        <w:rPr>
          <w:rFonts w:ascii="Times New Roman" w:eastAsia="Times New Roman" w:hAnsi="Times New Roman" w:cs="Times New Roman"/>
          <w:sz w:val="24"/>
          <w:szCs w:val="24"/>
        </w:rPr>
        <w:t>Mona A. Ebrish</w:t>
      </w:r>
      <w:r w:rsidRPr="00F62D5A">
        <w:rPr>
          <w:rFonts w:ascii="Times New Roman" w:eastAsia="Times New Roman" w:hAnsi="Times New Roman" w:cs="Times New Roman"/>
          <w:sz w:val="24"/>
          <w:szCs w:val="24"/>
          <w:vertAlign w:val="superscript"/>
        </w:rPr>
        <w:t>1</w:t>
      </w:r>
      <w:r w:rsidRPr="00F62D5A">
        <w:rPr>
          <w:rFonts w:ascii="Times New Roman" w:eastAsia="Times New Roman" w:hAnsi="Times New Roman" w:cs="Times New Roman"/>
          <w:sz w:val="24"/>
          <w:szCs w:val="24"/>
        </w:rPr>
        <w:t>, Travis J. Anderson</w:t>
      </w:r>
      <w:r w:rsidRPr="00F62D5A">
        <w:rPr>
          <w:rFonts w:ascii="Times New Roman" w:eastAsia="Times New Roman" w:hAnsi="Times New Roman" w:cs="Times New Roman"/>
          <w:sz w:val="24"/>
          <w:szCs w:val="24"/>
          <w:vertAlign w:val="superscript"/>
        </w:rPr>
        <w:t>2</w:t>
      </w:r>
      <w:r w:rsidRPr="00F62D5A">
        <w:rPr>
          <w:rFonts w:ascii="Times New Roman" w:eastAsia="Times New Roman" w:hAnsi="Times New Roman" w:cs="Times New Roman"/>
          <w:sz w:val="24"/>
          <w:szCs w:val="24"/>
        </w:rPr>
        <w:t xml:space="preserve">, James C. </w:t>
      </w:r>
      <w:r w:rsidR="00C17EB2" w:rsidRPr="00F62D5A">
        <w:rPr>
          <w:rFonts w:ascii="Times New Roman" w:eastAsia="Times New Roman" w:hAnsi="Times New Roman" w:cs="Times New Roman"/>
          <w:sz w:val="24"/>
          <w:szCs w:val="24"/>
        </w:rPr>
        <w:t>Gallagher</w:t>
      </w:r>
      <w:r w:rsidR="00C17EB2">
        <w:rPr>
          <w:rFonts w:ascii="Times New Roman" w:eastAsia="Times New Roman" w:hAnsi="Times New Roman" w:cs="Times New Roman"/>
          <w:sz w:val="24"/>
          <w:szCs w:val="24"/>
          <w:vertAlign w:val="superscript"/>
        </w:rPr>
        <w:t>2</w:t>
      </w:r>
      <w:r w:rsidRPr="00F62D5A">
        <w:rPr>
          <w:rFonts w:ascii="Times New Roman" w:eastAsia="Times New Roman" w:hAnsi="Times New Roman" w:cs="Times New Roman"/>
          <w:sz w:val="24"/>
          <w:szCs w:val="24"/>
        </w:rPr>
        <w:t>, Joseph Spencer</w:t>
      </w:r>
      <w:r w:rsidRPr="00F62D5A">
        <w:rPr>
          <w:rFonts w:ascii="Times New Roman" w:eastAsia="Times New Roman" w:hAnsi="Times New Roman" w:cs="Times New Roman"/>
          <w:sz w:val="24"/>
          <w:szCs w:val="24"/>
          <w:vertAlign w:val="superscript"/>
        </w:rPr>
        <w:t>4</w:t>
      </w:r>
      <w:r w:rsidRPr="00F62D5A">
        <w:rPr>
          <w:rFonts w:ascii="Times New Roman" w:eastAsia="Times New Roman" w:hAnsi="Times New Roman" w:cs="Times New Roman"/>
          <w:sz w:val="24"/>
          <w:szCs w:val="24"/>
        </w:rPr>
        <w:t xml:space="preserve">, </w:t>
      </w:r>
      <w:r w:rsidR="00C17EB2" w:rsidRPr="00C17EB2">
        <w:rPr>
          <w:rFonts w:ascii="Times New Roman" w:eastAsia="Times New Roman" w:hAnsi="Times New Roman" w:cs="Times New Roman"/>
          <w:sz w:val="24"/>
          <w:szCs w:val="24"/>
        </w:rPr>
        <w:t>Andrew D. Kohler</w:t>
      </w:r>
      <w:r w:rsidR="00C17EB2">
        <w:rPr>
          <w:rFonts w:ascii="Times New Roman" w:eastAsia="Times New Roman" w:hAnsi="Times New Roman" w:cs="Times New Roman"/>
          <w:sz w:val="24"/>
          <w:szCs w:val="24"/>
          <w:vertAlign w:val="superscript"/>
        </w:rPr>
        <w:t>2</w:t>
      </w:r>
      <w:r w:rsidRPr="00F62D5A">
        <w:rPr>
          <w:rFonts w:ascii="Times New Roman" w:eastAsia="Times New Roman" w:hAnsi="Times New Roman" w:cs="Times New Roman"/>
          <w:sz w:val="24"/>
          <w:szCs w:val="24"/>
        </w:rPr>
        <w:t xml:space="preserve">, </w:t>
      </w:r>
      <w:r w:rsidR="00C17EB2" w:rsidRPr="00C17EB2">
        <w:rPr>
          <w:rFonts w:ascii="Times New Roman" w:eastAsia="Times New Roman" w:hAnsi="Times New Roman" w:cs="Times New Roman"/>
          <w:sz w:val="24"/>
          <w:szCs w:val="24"/>
        </w:rPr>
        <w:t>Geoffrey Foster</w:t>
      </w:r>
      <w:r w:rsidR="00CA01B9" w:rsidRPr="001404D4">
        <w:rPr>
          <w:rFonts w:ascii="Times New Roman" w:eastAsia="Times New Roman" w:hAnsi="Times New Roman" w:cs="Times New Roman"/>
          <w:sz w:val="24"/>
          <w:szCs w:val="24"/>
          <w:vertAlign w:val="superscript"/>
        </w:rPr>
        <w:t>3</w:t>
      </w:r>
      <w:r w:rsidRPr="00F62D5A">
        <w:rPr>
          <w:rFonts w:ascii="Times New Roman" w:eastAsia="Times New Roman" w:hAnsi="Times New Roman" w:cs="Times New Roman"/>
          <w:sz w:val="24"/>
          <w:szCs w:val="24"/>
        </w:rPr>
        <w:t>, Karl D. Hobart</w:t>
      </w:r>
      <w:r w:rsidRPr="00F62D5A">
        <w:rPr>
          <w:rFonts w:ascii="Times New Roman" w:eastAsia="Times New Roman" w:hAnsi="Times New Roman" w:cs="Times New Roman"/>
          <w:sz w:val="24"/>
          <w:szCs w:val="24"/>
          <w:vertAlign w:val="superscript"/>
        </w:rPr>
        <w:t>2</w:t>
      </w:r>
    </w:p>
    <w:p w14:paraId="2B720962" w14:textId="77777777" w:rsidR="00F62D5A" w:rsidRPr="00F62D5A" w:rsidRDefault="00F62D5A" w:rsidP="00F62D5A">
      <w:pPr>
        <w:spacing w:after="0" w:line="240" w:lineRule="auto"/>
        <w:jc w:val="center"/>
        <w:rPr>
          <w:rFonts w:ascii="Times New Roman" w:eastAsia="Times New Roman" w:hAnsi="Times New Roman" w:cs="Times New Roman"/>
          <w:sz w:val="24"/>
          <w:szCs w:val="24"/>
        </w:rPr>
      </w:pPr>
      <w:r w:rsidRPr="00F62D5A">
        <w:rPr>
          <w:rFonts w:ascii="Times New Roman" w:eastAsia="Times New Roman" w:hAnsi="Times New Roman" w:cs="Times New Roman"/>
          <w:sz w:val="24"/>
          <w:szCs w:val="24"/>
          <w:vertAlign w:val="superscript"/>
        </w:rPr>
        <w:t>1</w:t>
      </w:r>
      <w:r w:rsidRPr="00F62D5A">
        <w:rPr>
          <w:rFonts w:ascii="Times New Roman" w:eastAsia="Times New Roman" w:hAnsi="Times New Roman" w:cs="Times New Roman"/>
          <w:sz w:val="24"/>
          <w:szCs w:val="24"/>
        </w:rPr>
        <w:t>NRC Postdoctoral Fellow Residing at NRL, Washington, DC 22310, USA</w:t>
      </w:r>
      <w:r w:rsidRPr="00F62D5A">
        <w:rPr>
          <w:rFonts w:ascii="Times New Roman" w:eastAsia="Times New Roman" w:hAnsi="Times New Roman" w:cs="Times New Roman"/>
          <w:iCs/>
          <w:sz w:val="24"/>
          <w:szCs w:val="24"/>
          <w:lang w:val="en-GB"/>
        </w:rPr>
        <w:t xml:space="preserve"> mona.ebrish.ctr.ly@nrl.navy.mil 202-404-6788</w:t>
      </w:r>
    </w:p>
    <w:p w14:paraId="2B720963" w14:textId="77777777" w:rsidR="00F62D5A" w:rsidRPr="00F62D5A" w:rsidRDefault="00F62D5A" w:rsidP="00F62D5A">
      <w:pPr>
        <w:spacing w:after="0" w:line="240" w:lineRule="auto"/>
        <w:jc w:val="center"/>
        <w:rPr>
          <w:rFonts w:ascii="Times New Roman" w:eastAsia="Times New Roman" w:hAnsi="Times New Roman" w:cs="Times New Roman"/>
          <w:iCs/>
          <w:sz w:val="24"/>
          <w:szCs w:val="24"/>
          <w:lang w:val="en-GB"/>
        </w:rPr>
      </w:pPr>
      <w:r w:rsidRPr="00F62D5A">
        <w:rPr>
          <w:rFonts w:ascii="Times New Roman" w:eastAsia="Times New Roman" w:hAnsi="Times New Roman" w:cs="Times New Roman"/>
          <w:iCs/>
          <w:sz w:val="24"/>
          <w:szCs w:val="24"/>
          <w:vertAlign w:val="superscript"/>
          <w:lang w:val="en-GB"/>
        </w:rPr>
        <w:t>2</w:t>
      </w:r>
      <w:r w:rsidRPr="00F62D5A">
        <w:rPr>
          <w:rFonts w:ascii="Times New Roman" w:eastAsia="Times New Roman" w:hAnsi="Times New Roman" w:cs="Times New Roman"/>
          <w:iCs/>
          <w:sz w:val="24"/>
          <w:szCs w:val="24"/>
          <w:lang w:val="en-GB"/>
        </w:rPr>
        <w:t xml:space="preserve">U.S. Naval Research Laboratory, Washington DC 20375, USA, </w:t>
      </w:r>
      <w:r w:rsidRPr="00F62D5A">
        <w:rPr>
          <w:rFonts w:ascii="Times New Roman" w:eastAsia="Times New Roman" w:hAnsi="Times New Roman" w:cs="Times New Roman"/>
          <w:iCs/>
          <w:sz w:val="24"/>
          <w:szCs w:val="24"/>
          <w:vertAlign w:val="superscript"/>
          <w:lang w:val="en-GB"/>
        </w:rPr>
        <w:t>3</w:t>
      </w:r>
      <w:r w:rsidRPr="00F62D5A">
        <w:rPr>
          <w:rFonts w:ascii="Times New Roman" w:eastAsia="Times New Roman" w:hAnsi="Times New Roman" w:cs="Times New Roman"/>
          <w:iCs/>
          <w:sz w:val="24"/>
          <w:szCs w:val="24"/>
          <w:lang w:val="en-GB"/>
        </w:rPr>
        <w:t xml:space="preserve">ASEE Postdoctoral Fellow Residing at NRL, Washington, DC 22310, </w:t>
      </w:r>
      <w:r w:rsidRPr="00F62D5A">
        <w:rPr>
          <w:rFonts w:ascii="Times New Roman" w:eastAsia="Times New Roman" w:hAnsi="Times New Roman" w:cs="Times New Roman"/>
          <w:iCs/>
          <w:sz w:val="24"/>
          <w:szCs w:val="24"/>
          <w:vertAlign w:val="superscript"/>
          <w:lang w:val="en-GB"/>
        </w:rPr>
        <w:t>4</w:t>
      </w:r>
      <w:r w:rsidRPr="00F62D5A">
        <w:rPr>
          <w:rFonts w:ascii="Times New Roman" w:eastAsia="Times New Roman" w:hAnsi="Times New Roman" w:cs="Times New Roman"/>
          <w:iCs/>
          <w:sz w:val="24"/>
          <w:szCs w:val="24"/>
          <w:lang w:val="en-GB"/>
        </w:rPr>
        <w:t>Virginia Tech, Blacksburg, VA</w:t>
      </w:r>
    </w:p>
    <w:p w14:paraId="2B720964" w14:textId="77777777" w:rsidR="00F62D5A" w:rsidRPr="00F62D5A" w:rsidRDefault="00F62D5A" w:rsidP="00F62D5A">
      <w:pPr>
        <w:spacing w:after="0" w:line="240" w:lineRule="auto"/>
        <w:jc w:val="center"/>
        <w:rPr>
          <w:rFonts w:ascii="Times New Roman" w:eastAsia="Times New Roman" w:hAnsi="Times New Roman" w:cs="Times New Roman"/>
          <w:sz w:val="20"/>
          <w:szCs w:val="20"/>
        </w:rPr>
      </w:pPr>
    </w:p>
    <w:p w14:paraId="2B720965" w14:textId="77777777" w:rsidR="00F62D5A" w:rsidRPr="00F62D5A" w:rsidRDefault="00F62D5A" w:rsidP="00F62D5A">
      <w:pPr>
        <w:keepNext/>
        <w:tabs>
          <w:tab w:val="left" w:pos="270"/>
        </w:tabs>
        <w:spacing w:after="0" w:line="240" w:lineRule="auto"/>
        <w:outlineLvl w:val="1"/>
        <w:rPr>
          <w:rFonts w:ascii="Times New Roman" w:eastAsia="Times New Roman" w:hAnsi="Times New Roman" w:cs="Times New Roman"/>
          <w:b/>
          <w:sz w:val="20"/>
          <w:szCs w:val="20"/>
        </w:rPr>
      </w:pPr>
      <w:r w:rsidRPr="00F62D5A">
        <w:rPr>
          <w:rFonts w:ascii="Times New Roman" w:eastAsia="Times New Roman" w:hAnsi="Times New Roman" w:cs="Times New Roman"/>
          <w:b/>
          <w:sz w:val="20"/>
          <w:szCs w:val="20"/>
        </w:rPr>
        <w:t>Keywords: GaN, Hyperspectral Electroluminescence, Vertical Diode, Failure analysis, Characterization</w:t>
      </w:r>
    </w:p>
    <w:p w14:paraId="2B720966" w14:textId="77777777" w:rsidR="00E76B34" w:rsidRPr="00F62D5A" w:rsidRDefault="00920180">
      <w:pPr>
        <w:rPr>
          <w:rFonts w:ascii="Times New Roman" w:hAnsi="Times New Roman" w:cs="Times New Roman"/>
        </w:rPr>
      </w:pPr>
    </w:p>
    <w:p w14:paraId="2B720967" w14:textId="77777777" w:rsidR="00F62D5A" w:rsidRPr="00F62D5A" w:rsidRDefault="00F62D5A" w:rsidP="00F62D5A">
      <w:pPr>
        <w:rPr>
          <w:rFonts w:ascii="Times New Roman" w:hAnsi="Times New Roman" w:cs="Times New Roman"/>
          <w:sz w:val="20"/>
          <w:szCs w:val="20"/>
        </w:rPr>
        <w:sectPr w:rsidR="00F62D5A" w:rsidRPr="00F62D5A">
          <w:pgSz w:w="12240" w:h="15840"/>
          <w:pgMar w:top="1440" w:right="1440" w:bottom="1440" w:left="1440" w:header="720" w:footer="720" w:gutter="0"/>
          <w:cols w:space="720"/>
          <w:docGrid w:linePitch="360"/>
        </w:sectPr>
      </w:pPr>
    </w:p>
    <w:p w14:paraId="2B720968" w14:textId="77777777" w:rsidR="00F62D5A" w:rsidRPr="00F62D5A" w:rsidRDefault="00F62D5A" w:rsidP="00F62D5A">
      <w:pPr>
        <w:keepNext/>
        <w:spacing w:after="0" w:line="240" w:lineRule="auto"/>
        <w:ind w:left="202"/>
        <w:mirrorIndents/>
        <w:jc w:val="both"/>
        <w:rPr>
          <w:rFonts w:ascii="Times New Roman" w:hAnsi="Times New Roman" w:cs="Times New Roman"/>
          <w:b/>
          <w:sz w:val="20"/>
          <w:szCs w:val="20"/>
        </w:rPr>
      </w:pPr>
      <w:r w:rsidRPr="00F62D5A">
        <w:rPr>
          <w:rFonts w:ascii="Times New Roman" w:hAnsi="Times New Roman" w:cs="Times New Roman"/>
          <w:b/>
          <w:sz w:val="20"/>
          <w:szCs w:val="20"/>
        </w:rPr>
        <w:lastRenderedPageBreak/>
        <w:t>Abstract</w:t>
      </w:r>
    </w:p>
    <w:p w14:paraId="2B720969" w14:textId="77777777" w:rsidR="00F62D5A" w:rsidRPr="00F62D5A" w:rsidRDefault="00F62D5A" w:rsidP="00F62D5A">
      <w:pPr>
        <w:keepNext/>
        <w:spacing w:after="0" w:line="240" w:lineRule="auto"/>
        <w:ind w:left="202"/>
        <w:mirrorIndents/>
        <w:jc w:val="both"/>
        <w:rPr>
          <w:rFonts w:ascii="Times New Roman" w:hAnsi="Times New Roman" w:cs="Times New Roman"/>
          <w:b/>
          <w:sz w:val="20"/>
          <w:szCs w:val="20"/>
        </w:rPr>
      </w:pPr>
    </w:p>
    <w:p w14:paraId="2B72096B" w14:textId="4AAC5236" w:rsidR="00F62D5A" w:rsidRPr="00F62D5A" w:rsidRDefault="00F62D5A" w:rsidP="000C069B">
      <w:pPr>
        <w:keepNext/>
        <w:spacing w:after="0" w:line="240" w:lineRule="auto"/>
        <w:ind w:left="202"/>
        <w:mirrorIndents/>
        <w:jc w:val="both"/>
        <w:rPr>
          <w:rFonts w:ascii="Times New Roman" w:hAnsi="Times New Roman" w:cs="Times New Roman"/>
          <w:b/>
          <w:sz w:val="20"/>
          <w:szCs w:val="20"/>
        </w:rPr>
      </w:pPr>
      <w:r w:rsidRPr="00F62D5A">
        <w:rPr>
          <w:rFonts w:ascii="Times New Roman" w:hAnsi="Times New Roman" w:cs="Times New Roman"/>
          <w:b/>
          <w:sz w:val="20"/>
          <w:szCs w:val="20"/>
        </w:rPr>
        <w:t>GaN is a promising material for more efficient high</w:t>
      </w:r>
      <w:bookmarkStart w:id="0" w:name="_GoBack"/>
      <w:bookmarkEnd w:id="0"/>
      <w:r w:rsidRPr="00F62D5A">
        <w:rPr>
          <w:rFonts w:ascii="Times New Roman" w:hAnsi="Times New Roman" w:cs="Times New Roman"/>
          <w:b/>
          <w:sz w:val="20"/>
          <w:szCs w:val="20"/>
        </w:rPr>
        <w:t xml:space="preserve"> frequency and high voltage power switching. However, GaN still is not the common material for power electronics due to immature substrate, homoepitaxial growth, and processing technology. Electroluminescence is a promising method to predict failure points due to high field stress, which can assist in the separation of inherent defects stemming from substrate quality, and from process-induced defects as well as identify problems related to proper edge termination design. In this work</w:t>
      </w:r>
      <w:r w:rsidR="000C069B">
        <w:rPr>
          <w:rFonts w:ascii="Times New Roman" w:hAnsi="Times New Roman" w:cs="Times New Roman"/>
          <w:b/>
          <w:sz w:val="20"/>
          <w:szCs w:val="20"/>
        </w:rPr>
        <w:t>,</w:t>
      </w:r>
      <w:r w:rsidRPr="00F62D5A">
        <w:rPr>
          <w:rFonts w:ascii="Times New Roman" w:hAnsi="Times New Roman" w:cs="Times New Roman"/>
          <w:b/>
          <w:sz w:val="20"/>
          <w:szCs w:val="20"/>
        </w:rPr>
        <w:t xml:space="preserve"> we compare the Electroluminescence signatures of devices on inhomogeneous substrates to DC I-V behavior to demonstrate the utility of the technique for process monitoring. </w:t>
      </w:r>
    </w:p>
    <w:p w14:paraId="2B72096C" w14:textId="77777777" w:rsidR="00F62D5A" w:rsidRPr="00F62D5A" w:rsidRDefault="00F62D5A" w:rsidP="00F62D5A">
      <w:pPr>
        <w:keepNext/>
        <w:spacing w:after="0" w:line="240" w:lineRule="auto"/>
        <w:ind w:left="202"/>
        <w:mirrorIndents/>
        <w:jc w:val="both"/>
        <w:rPr>
          <w:rFonts w:ascii="Times New Roman" w:hAnsi="Times New Roman" w:cs="Times New Roman"/>
          <w:sz w:val="20"/>
          <w:szCs w:val="20"/>
        </w:rPr>
      </w:pPr>
    </w:p>
    <w:p w14:paraId="2B72096D" w14:textId="77777777" w:rsidR="00F62D5A" w:rsidRDefault="00562C42" w:rsidP="00562C42">
      <w:pPr>
        <w:keepNext/>
        <w:spacing w:after="0" w:line="240" w:lineRule="auto"/>
        <w:ind w:left="202"/>
        <w:mirrorIndents/>
        <w:jc w:val="both"/>
        <w:rPr>
          <w:rFonts w:ascii="Times New Roman" w:hAnsi="Times New Roman" w:cs="Times New Roman"/>
          <w:sz w:val="20"/>
          <w:szCs w:val="20"/>
        </w:rPr>
      </w:pPr>
      <w:r>
        <w:rPr>
          <w:rFonts w:ascii="Times New Roman" w:hAnsi="Times New Roman" w:cs="Times New Roman"/>
          <w:sz w:val="20"/>
          <w:szCs w:val="20"/>
        </w:rPr>
        <w:t xml:space="preserve">INTRODUCTION </w:t>
      </w:r>
    </w:p>
    <w:p w14:paraId="2B72096E" w14:textId="77777777" w:rsidR="00562C42" w:rsidRPr="00F62D5A" w:rsidRDefault="00562C42" w:rsidP="00562C42">
      <w:pPr>
        <w:keepNext/>
        <w:spacing w:after="0" w:line="240" w:lineRule="auto"/>
        <w:ind w:left="202"/>
        <w:mirrorIndents/>
        <w:jc w:val="both"/>
        <w:rPr>
          <w:rFonts w:ascii="Times New Roman" w:hAnsi="Times New Roman" w:cs="Times New Roman"/>
          <w:sz w:val="20"/>
          <w:szCs w:val="20"/>
        </w:rPr>
      </w:pPr>
    </w:p>
    <w:p w14:paraId="2B72096F" w14:textId="690DC23A" w:rsidR="00F62D5A" w:rsidRPr="00F62D5A" w:rsidRDefault="00F62D5A" w:rsidP="00F62D5A">
      <w:pPr>
        <w:keepNext/>
        <w:spacing w:after="0" w:line="240" w:lineRule="auto"/>
        <w:ind w:left="202"/>
        <w:mirrorIndents/>
        <w:jc w:val="both"/>
        <w:rPr>
          <w:rFonts w:ascii="Times New Roman" w:hAnsi="Times New Roman" w:cs="Times New Roman"/>
          <w:sz w:val="20"/>
          <w:szCs w:val="20"/>
        </w:rPr>
      </w:pPr>
      <w:r w:rsidRPr="00F62D5A">
        <w:rPr>
          <w:rFonts w:ascii="Times New Roman" w:hAnsi="Times New Roman" w:cs="Times New Roman"/>
          <w:sz w:val="20"/>
          <w:szCs w:val="20"/>
        </w:rPr>
        <w:t>Despite the superb advantages of vertical GaN diodes in high power applications, the manufacturability of these devices is encountering reliability issues under high voltage stress, along with other epitaxial growth limitations that hinder scaling to &gt;5kV</w:t>
      </w:r>
      <w:r w:rsidR="00E03C14">
        <w:rPr>
          <w:rFonts w:ascii="Times New Roman" w:hAnsi="Times New Roman" w:cs="Times New Roman"/>
          <w:sz w:val="20"/>
          <w:szCs w:val="20"/>
        </w:rPr>
        <w:t xml:space="preserve"> </w:t>
      </w:r>
      <w:r w:rsidR="000C069B">
        <w:rPr>
          <w:rFonts w:ascii="Times New Roman" w:hAnsi="Times New Roman" w:cs="Times New Roman"/>
          <w:sz w:val="20"/>
          <w:szCs w:val="20"/>
        </w:rPr>
        <w:fldChar w:fldCharType="begin" w:fldLock="1"/>
      </w:r>
      <w:r w:rsidR="000C069B">
        <w:rPr>
          <w:rFonts w:ascii="Times New Roman" w:hAnsi="Times New Roman" w:cs="Times New Roman"/>
          <w:sz w:val="20"/>
          <w:szCs w:val="20"/>
        </w:rPr>
        <w:instrText>ADDIN CSL_CITATION {"citationItems":[{"id":"ITEM-1","itemData":{"DOI":"10.1049/el.2016.1156","ISSN":"0013-5194","author":[{"dropping-particle":"","family":"Fischer","given":"A.J.","non-dropping-particle":"","parse-names":false,"suffix":""},{"dropping-particle":"","family":"Dickerson","given":"J.R.","non-dropping-particle":"","parse-names":false,"suffix":""},{"dropping-particle":"","family":"Armstrong","given":"A.M.","non-dropping-particle":"","parse-names":false,"suffix":""},{"dropping-particle":"","family":"Moseley","given":"M.W.","non-dropping-particle":"","parse-names":false,"suffix":""},{"dropping-particle":"","family":"Crawford","given":"M.H.","non-dropping-particle":"","parse-names":false,"suffix":""},{"dropping-particle":"","family":"King","given":"M.P.","non-dropping-particle":"","parse-names":false,"suffix":""},{"dropping-particle":"","family":"Allerman","given":"A.A.","non-dropping-particle":"","parse-names":false,"suffix":""},{"dropping-particle":"","family":"Kaplar","given":"R.J.","non-dropping-particle":"","parse-names":false,"suffix":""},{"dropping-particle":"","family":"Heukelom","given":"M.S.","non-dropping-particle":"van","parse-names":false,"suffix":""},{"dropping-particle":"","family":"Wierer","given":"J.J.","non-dropping-particle":"","parse-names":false,"suffix":""}],"container-title":"Electronics Letters","id":"ITEM-1","issue":"13","issued":{"date-parts":[["2016"]]},"page":"1170-1171","title":"High voltage and high current density vertical GaN power diodes","type":"article-journal","volume":"52"},"uris":["http://www.mendeley.com/documents/?uuid=d7d4ebb7-a8cc-4c30-8dde-aab629da7fa4"]}],"mendeley":{"formattedCitation":"[1]","plainTextFormattedCitation":"[1]","previouslyFormattedCitation":"[1]"},"properties":{"noteIndex":0},"schema":"https://github.com/citation-style-language/schema/raw/master/csl-citation.json"}</w:instrText>
      </w:r>
      <w:r w:rsidR="000C069B">
        <w:rPr>
          <w:rFonts w:ascii="Times New Roman" w:hAnsi="Times New Roman" w:cs="Times New Roman"/>
          <w:sz w:val="20"/>
          <w:szCs w:val="20"/>
        </w:rPr>
        <w:fldChar w:fldCharType="separate"/>
      </w:r>
      <w:r w:rsidR="000C069B" w:rsidRPr="000C069B">
        <w:rPr>
          <w:rFonts w:ascii="Times New Roman" w:hAnsi="Times New Roman" w:cs="Times New Roman"/>
          <w:noProof/>
          <w:sz w:val="20"/>
          <w:szCs w:val="20"/>
        </w:rPr>
        <w:t>[1]</w:t>
      </w:r>
      <w:r w:rsidR="000C069B">
        <w:rPr>
          <w:rFonts w:ascii="Times New Roman" w:hAnsi="Times New Roman" w:cs="Times New Roman"/>
          <w:sz w:val="20"/>
          <w:szCs w:val="20"/>
        </w:rPr>
        <w:fldChar w:fldCharType="end"/>
      </w:r>
      <w:r w:rsidR="007A60A6">
        <w:rPr>
          <w:rFonts w:ascii="Times New Roman" w:hAnsi="Times New Roman" w:cs="Times New Roman"/>
          <w:sz w:val="20"/>
          <w:szCs w:val="20"/>
        </w:rPr>
        <w:t>.</w:t>
      </w:r>
      <w:r w:rsidR="000C069B">
        <w:rPr>
          <w:rFonts w:ascii="Times New Roman" w:hAnsi="Times New Roman" w:cs="Times New Roman"/>
          <w:sz w:val="20"/>
          <w:szCs w:val="20"/>
        </w:rPr>
        <w:t xml:space="preserve"> </w:t>
      </w:r>
      <w:r w:rsidRPr="00F62D5A">
        <w:rPr>
          <w:rFonts w:ascii="Times New Roman" w:hAnsi="Times New Roman" w:cs="Times New Roman"/>
          <w:sz w:val="20"/>
          <w:szCs w:val="20"/>
        </w:rPr>
        <w:t xml:space="preserve">Defects can either originate during the epitaxial layer growth process in the form of dislocations or impurity traps or during the fabrication process. The edge termination process specifically has a direct impact on the voltage blocking capability and reliability of the device. Here we present a characterization technique to evaluate failure mechanism and distinguish between the failure causes that derive from the killer defects in the substrate from those that originate during the fabrication process. </w:t>
      </w:r>
    </w:p>
    <w:p w14:paraId="2B720970" w14:textId="77777777" w:rsidR="00F62D5A" w:rsidRPr="00F62D5A" w:rsidRDefault="00F62D5A" w:rsidP="00F62D5A">
      <w:pPr>
        <w:keepNext/>
        <w:spacing w:after="0" w:line="240" w:lineRule="auto"/>
        <w:ind w:left="202"/>
        <w:mirrorIndents/>
        <w:jc w:val="both"/>
        <w:rPr>
          <w:rFonts w:ascii="Times New Roman" w:hAnsi="Times New Roman" w:cs="Times New Roman"/>
          <w:sz w:val="20"/>
          <w:szCs w:val="20"/>
        </w:rPr>
      </w:pPr>
      <w:r w:rsidRPr="00F62D5A">
        <w:rPr>
          <w:rFonts w:ascii="Times New Roman" w:hAnsi="Times New Roman" w:cs="Times New Roman"/>
          <w:sz w:val="20"/>
          <w:szCs w:val="20"/>
        </w:rPr>
        <w:tab/>
      </w:r>
    </w:p>
    <w:p w14:paraId="2B720971" w14:textId="0715E9DB" w:rsidR="00F62D5A" w:rsidRDefault="00F62D5A" w:rsidP="00F62D5A">
      <w:pPr>
        <w:keepNext/>
        <w:spacing w:after="0" w:line="240" w:lineRule="auto"/>
        <w:ind w:left="202"/>
        <w:mirrorIndents/>
        <w:jc w:val="both"/>
        <w:rPr>
          <w:rFonts w:ascii="Times New Roman" w:hAnsi="Times New Roman" w:cs="Times New Roman"/>
          <w:sz w:val="20"/>
          <w:szCs w:val="20"/>
        </w:rPr>
      </w:pPr>
      <w:r w:rsidRPr="00F62D5A">
        <w:rPr>
          <w:rFonts w:ascii="Times New Roman" w:hAnsi="Times New Roman" w:cs="Times New Roman"/>
          <w:sz w:val="20"/>
          <w:szCs w:val="20"/>
        </w:rPr>
        <w:t xml:space="preserve">Hyperspectral electroluminescence (EL) testing can be used to study those defects under high voltage conditions. Furthermore, hyperspectral imager can be used to identify high field points that will cause reliability issues under reverse bias and also to spatially resolve defect band luminescence under forward bias. This technique gives a direct image of reverse bias device performance, and can be </w:t>
      </w:r>
      <w:r w:rsidRPr="00F62D5A">
        <w:rPr>
          <w:rFonts w:ascii="Times New Roman" w:hAnsi="Times New Roman" w:cs="Times New Roman"/>
          <w:sz w:val="20"/>
          <w:szCs w:val="20"/>
        </w:rPr>
        <w:lastRenderedPageBreak/>
        <w:t xml:space="preserve">implemented during the fabrication sequence for process monitoring. Furthermore, it could be combined with other stress tests like the high temperature reverse bias (HTRB), and high temperature operating life (HTOL) on completely fabricated and packaged devices. If theses weak points can be identified early in the fabrication process, then it can optimize the edge termination design </w:t>
      </w:r>
      <w:r w:rsidR="000C069B">
        <w:rPr>
          <w:rFonts w:ascii="Times New Roman" w:hAnsi="Times New Roman" w:cs="Times New Roman"/>
          <w:sz w:val="20"/>
          <w:szCs w:val="20"/>
        </w:rPr>
        <w:fldChar w:fldCharType="begin" w:fldLock="1"/>
      </w:r>
      <w:r w:rsidR="000C069B">
        <w:rPr>
          <w:rFonts w:ascii="Times New Roman" w:hAnsi="Times New Roman" w:cs="Times New Roman"/>
          <w:sz w:val="20"/>
          <w:szCs w:val="20"/>
        </w:rPr>
        <w:instrText>ADDIN CSL_CITATION {"citationItems":[{"id":"ITEM-1","itemData":{"DOI":"10.1149/2.0281612jss","ISSN":"2162-8769","abstract":"Predicting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approach.","author":[{"dropping-particle":"","family":"Anderson","given":"T. J.","non-dropping-particle":"","parse-names":false,"suffix":""},{"dropping-particle":"","family":"Koehler","given":"A. D.","non-dropping-particle":"","parse-names":false,"suffix":""},{"dropping-particle":"","family":"Freitas","given":"J. A.","non-dropping-particle":"","parse-names":false,"suffix":""},{"dropping-particle":"","family":"Weaver","given":"B. D.","non-dropping-particle":"","parse-names":false,"suffix":""},{"dropping-particle":"","family":"Greenlee","given":"J. D.","non-dropping-particle":"","parse-names":false,"suffix":""},{"dropping-particle":"","family":"Tadjer","given":"M. J.","non-dropping-particle":"","parse-names":false,"suffix":""},{"dropping-particle":"","family":"Imhoff","given":"E. A.","non-dropping-particle":"","parse-names":false,"suffix":""},{"dropping-particle":"","family":"Hobart","given":"K. D.","non-dropping-particle":"","parse-names":false,"suffix":""},{"dropping-particle":"","family":"Kub","given":"F. J.","non-dropping-particle":"","parse-names":false,"suffix":""}],"container-title":"ECS Journal of Solid State Science and Technology","id":"ITEM-1","issue":"12","issued":{"date-parts":[["2016"]]},"page":"Q289-Q293","title":"Hyperspectral Electroluminescence Characterization of OFF-State Device Characteristics in Proton Irradiated High Voltage AlGaN/GaN HEMTs","type":"article-journal","volume":"5"},"uris":["http://www.mendeley.com/documents/?uuid=115e7299-3b74-46c4-9271-d4015c43654d"]}],"mendeley":{"formattedCitation":"[2]","plainTextFormattedCitation":"[2]","previouslyFormattedCitation":"[2]"},"properties":{"noteIndex":0},"schema":"https://github.com/citation-style-language/schema/raw/master/csl-citation.json"}</w:instrText>
      </w:r>
      <w:r w:rsidR="000C069B">
        <w:rPr>
          <w:rFonts w:ascii="Times New Roman" w:hAnsi="Times New Roman" w:cs="Times New Roman"/>
          <w:sz w:val="20"/>
          <w:szCs w:val="20"/>
        </w:rPr>
        <w:fldChar w:fldCharType="separate"/>
      </w:r>
      <w:r w:rsidR="000C069B" w:rsidRPr="000C069B">
        <w:rPr>
          <w:rFonts w:ascii="Times New Roman" w:hAnsi="Times New Roman" w:cs="Times New Roman"/>
          <w:noProof/>
          <w:sz w:val="20"/>
          <w:szCs w:val="20"/>
        </w:rPr>
        <w:t>[2]</w:t>
      </w:r>
      <w:r w:rsidR="000C069B">
        <w:rPr>
          <w:rFonts w:ascii="Times New Roman" w:hAnsi="Times New Roman" w:cs="Times New Roman"/>
          <w:sz w:val="20"/>
          <w:szCs w:val="20"/>
        </w:rPr>
        <w:fldChar w:fldCharType="end"/>
      </w:r>
      <w:r w:rsidR="00E03C14">
        <w:rPr>
          <w:rFonts w:ascii="Times New Roman" w:hAnsi="Times New Roman" w:cs="Times New Roman"/>
          <w:sz w:val="20"/>
          <w:szCs w:val="20"/>
        </w:rPr>
        <w:t>.</w:t>
      </w:r>
    </w:p>
    <w:p w14:paraId="2B720972" w14:textId="77777777" w:rsidR="00562C42" w:rsidRDefault="00562C42" w:rsidP="00562C42">
      <w:pPr>
        <w:keepNext/>
        <w:spacing w:after="0" w:line="240" w:lineRule="auto"/>
        <w:ind w:left="202"/>
        <w:mirrorIndents/>
        <w:jc w:val="both"/>
        <w:rPr>
          <w:rFonts w:ascii="Times New Roman" w:hAnsi="Times New Roman" w:cs="Times New Roman"/>
          <w:sz w:val="20"/>
          <w:szCs w:val="20"/>
        </w:rPr>
      </w:pPr>
    </w:p>
    <w:p w14:paraId="2B720973" w14:textId="77777777" w:rsidR="00562C42" w:rsidRPr="00562C42" w:rsidRDefault="00562C42" w:rsidP="00562C42">
      <w:pPr>
        <w:keepNext/>
        <w:spacing w:after="0" w:line="240" w:lineRule="auto"/>
        <w:ind w:left="202"/>
        <w:mirrorIndents/>
        <w:jc w:val="both"/>
        <w:rPr>
          <w:rFonts w:ascii="Times New Roman" w:hAnsi="Times New Roman" w:cs="Times New Roman"/>
          <w:sz w:val="20"/>
          <w:szCs w:val="20"/>
        </w:rPr>
      </w:pPr>
      <w:r w:rsidRPr="00562C42">
        <w:rPr>
          <w:rFonts w:ascii="Times New Roman" w:hAnsi="Times New Roman" w:cs="Times New Roman"/>
          <w:sz w:val="20"/>
          <w:szCs w:val="20"/>
        </w:rPr>
        <w:t xml:space="preserve">EXPERIMENT </w:t>
      </w:r>
    </w:p>
    <w:p w14:paraId="2B720974" w14:textId="77777777" w:rsidR="00562C42" w:rsidRPr="00562C42" w:rsidRDefault="00562C42" w:rsidP="00562C42">
      <w:pPr>
        <w:keepNext/>
        <w:spacing w:after="0" w:line="240" w:lineRule="auto"/>
        <w:ind w:left="202"/>
        <w:mirrorIndents/>
        <w:jc w:val="both"/>
        <w:rPr>
          <w:rFonts w:ascii="Times New Roman" w:hAnsi="Times New Roman" w:cs="Times New Roman"/>
          <w:sz w:val="20"/>
          <w:szCs w:val="20"/>
        </w:rPr>
      </w:pPr>
      <w:r w:rsidRPr="00562C42">
        <w:rPr>
          <w:rFonts w:ascii="Times New Roman" w:hAnsi="Times New Roman" w:cs="Times New Roman"/>
          <w:sz w:val="20"/>
          <w:szCs w:val="20"/>
        </w:rPr>
        <w:tab/>
      </w:r>
    </w:p>
    <w:p w14:paraId="2B720975" w14:textId="77777777" w:rsidR="00562C42" w:rsidRDefault="00562C42" w:rsidP="00562C42">
      <w:pPr>
        <w:keepNext/>
        <w:spacing w:after="0" w:line="240" w:lineRule="auto"/>
        <w:ind w:left="202"/>
        <w:mirrorIndents/>
        <w:jc w:val="both"/>
        <w:rPr>
          <w:rFonts w:ascii="Times New Roman" w:hAnsi="Times New Roman" w:cs="Times New Roman"/>
          <w:sz w:val="20"/>
          <w:szCs w:val="20"/>
        </w:rPr>
      </w:pPr>
      <w:r w:rsidRPr="00562C42">
        <w:rPr>
          <w:rFonts w:ascii="Times New Roman" w:hAnsi="Times New Roman" w:cs="Times New Roman"/>
          <w:sz w:val="20"/>
          <w:szCs w:val="20"/>
        </w:rPr>
        <w:t xml:space="preserve">Vertical </w:t>
      </w:r>
      <w:proofErr w:type="spellStart"/>
      <w:r w:rsidRPr="00562C42">
        <w:rPr>
          <w:rFonts w:ascii="Times New Roman" w:hAnsi="Times New Roman" w:cs="Times New Roman"/>
          <w:sz w:val="20"/>
          <w:szCs w:val="20"/>
        </w:rPr>
        <w:t>GaN</w:t>
      </w:r>
      <w:proofErr w:type="spellEnd"/>
      <w:r w:rsidRPr="00562C42">
        <w:rPr>
          <w:rFonts w:ascii="Times New Roman" w:hAnsi="Times New Roman" w:cs="Times New Roman"/>
          <w:sz w:val="20"/>
          <w:szCs w:val="20"/>
        </w:rPr>
        <w:t xml:space="preserve"> </w:t>
      </w:r>
      <w:proofErr w:type="spellStart"/>
      <w:r w:rsidRPr="00562C42">
        <w:rPr>
          <w:rFonts w:ascii="Times New Roman" w:hAnsi="Times New Roman" w:cs="Times New Roman"/>
          <w:sz w:val="20"/>
          <w:szCs w:val="20"/>
        </w:rPr>
        <w:t>PiN</w:t>
      </w:r>
      <w:proofErr w:type="spellEnd"/>
      <w:r w:rsidRPr="00562C42">
        <w:rPr>
          <w:rFonts w:ascii="Times New Roman" w:hAnsi="Times New Roman" w:cs="Times New Roman"/>
          <w:sz w:val="20"/>
          <w:szCs w:val="20"/>
        </w:rPr>
        <w:t xml:space="preserve"> diodes were tested and imaged in a custom vacuum probe station rated up to 20kV. The use of vacuum ambient presents an advantage over </w:t>
      </w:r>
      <w:proofErr w:type="spellStart"/>
      <w:r w:rsidRPr="00562C42">
        <w:rPr>
          <w:rFonts w:ascii="Times New Roman" w:hAnsi="Times New Roman" w:cs="Times New Roman"/>
          <w:sz w:val="20"/>
          <w:szCs w:val="20"/>
        </w:rPr>
        <w:t>fluorinert</w:t>
      </w:r>
      <w:proofErr w:type="spellEnd"/>
      <w:r w:rsidRPr="00562C42">
        <w:rPr>
          <w:rFonts w:ascii="Times New Roman" w:hAnsi="Times New Roman" w:cs="Times New Roman"/>
          <w:sz w:val="20"/>
          <w:szCs w:val="20"/>
        </w:rPr>
        <w:t xml:space="preserve"> testing as it preserves optical access to the device for imaging under high voltage stress conditions. At NRL our vacuum probe station with Hyperspectral Imaging has 250-1000nm imaging range, 2nm resolution, and broadband and monochromatic imaging modes as shown in Figure 1.</w:t>
      </w:r>
    </w:p>
    <w:p w14:paraId="2B720976" w14:textId="77777777" w:rsidR="00562C42" w:rsidRDefault="00562C42" w:rsidP="00562C42">
      <w:pPr>
        <w:keepNext/>
        <w:spacing w:after="0" w:line="240" w:lineRule="auto"/>
        <w:ind w:left="202"/>
        <w:mirrorIndents/>
        <w:jc w:val="both"/>
        <w:rPr>
          <w:rFonts w:ascii="Times New Roman" w:hAnsi="Times New Roman" w:cs="Times New Roman"/>
          <w:sz w:val="20"/>
          <w:szCs w:val="20"/>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tblGrid>
      <w:tr w:rsidR="00562C42" w14:paraId="2B720978" w14:textId="77777777" w:rsidTr="0029182C">
        <w:tc>
          <w:tcPr>
            <w:tcW w:w="4958" w:type="dxa"/>
          </w:tcPr>
          <w:p w14:paraId="2B720977" w14:textId="77777777" w:rsidR="00562C42" w:rsidRDefault="00562C42" w:rsidP="00562C42">
            <w:pPr>
              <w:keepNext/>
              <w:mirrorIndents/>
              <w:jc w:val="center"/>
              <w:rPr>
                <w:rFonts w:ascii="Times New Roman" w:hAnsi="Times New Roman" w:cs="Times New Roman"/>
                <w:noProof/>
                <w:sz w:val="20"/>
                <w:szCs w:val="20"/>
              </w:rPr>
            </w:pPr>
            <w:r w:rsidRPr="009D086C">
              <w:rPr>
                <w:rFonts w:ascii="Times New Roman" w:hAnsi="Times New Roman" w:cs="Times New Roman"/>
                <w:noProof/>
                <w:sz w:val="20"/>
                <w:szCs w:val="20"/>
              </w:rPr>
              <w:drawing>
                <wp:inline distT="0" distB="0" distL="0" distR="0" wp14:anchorId="2B7209B3" wp14:editId="2B7209B4">
                  <wp:extent cx="2433150" cy="1470028"/>
                  <wp:effectExtent l="508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7.jpg"/>
                          <pic:cNvPicPr/>
                        </pic:nvPicPr>
                        <pic:blipFill rotWithShape="1">
                          <a:blip r:embed="rId5" cstate="print">
                            <a:extLst>
                              <a:ext uri="{28A0092B-C50C-407E-A947-70E740481C1C}">
                                <a14:useLocalDpi xmlns:a14="http://schemas.microsoft.com/office/drawing/2010/main" val="0"/>
                              </a:ext>
                            </a:extLst>
                          </a:blip>
                          <a:srcRect t="19445"/>
                          <a:stretch/>
                        </pic:blipFill>
                        <pic:spPr bwMode="auto">
                          <a:xfrm rot="5400000">
                            <a:off x="0" y="0"/>
                            <a:ext cx="2450418" cy="14804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tc>
      </w:tr>
      <w:tr w:rsidR="00562C42" w14:paraId="2B72097A" w14:textId="77777777" w:rsidTr="0029182C">
        <w:tc>
          <w:tcPr>
            <w:tcW w:w="4958" w:type="dxa"/>
          </w:tcPr>
          <w:p w14:paraId="2B720979" w14:textId="77777777" w:rsidR="00562C42" w:rsidRDefault="00562C42" w:rsidP="00562C42">
            <w:pPr>
              <w:keepNext/>
              <w:mirrorIndents/>
              <w:jc w:val="both"/>
              <w:rPr>
                <w:rFonts w:ascii="Times New Roman" w:hAnsi="Times New Roman" w:cs="Times New Roman"/>
                <w:sz w:val="20"/>
                <w:szCs w:val="20"/>
              </w:rPr>
            </w:pPr>
            <w:r w:rsidRPr="00562C42">
              <w:rPr>
                <w:rFonts w:ascii="Times New Roman" w:hAnsi="Times New Roman" w:cs="Times New Roman"/>
                <w:sz w:val="20"/>
                <w:szCs w:val="20"/>
              </w:rPr>
              <w:t>Figure 1 NRL Vacuum Probe Station with Hyperspectral Imaging</w:t>
            </w:r>
            <w:r w:rsidR="00594747">
              <w:rPr>
                <w:rFonts w:ascii="Times New Roman" w:hAnsi="Times New Roman" w:cs="Times New Roman"/>
                <w:sz w:val="20"/>
                <w:szCs w:val="20"/>
              </w:rPr>
              <w:t>.</w:t>
            </w:r>
          </w:p>
        </w:tc>
      </w:tr>
    </w:tbl>
    <w:p w14:paraId="2B72097B" w14:textId="77777777" w:rsidR="00562C42" w:rsidRDefault="00562C42" w:rsidP="00562C42">
      <w:pPr>
        <w:keepNext/>
        <w:spacing w:after="0" w:line="240" w:lineRule="auto"/>
        <w:ind w:left="202"/>
        <w:mirrorIndents/>
        <w:jc w:val="both"/>
        <w:rPr>
          <w:rFonts w:ascii="Times New Roman" w:hAnsi="Times New Roman" w:cs="Times New Roman"/>
          <w:sz w:val="20"/>
          <w:szCs w:val="20"/>
        </w:rPr>
      </w:pPr>
    </w:p>
    <w:p w14:paraId="2B72097C" w14:textId="0FEBC987" w:rsidR="00562C42" w:rsidRDefault="00562C42" w:rsidP="00562C42">
      <w:pPr>
        <w:keepNext/>
        <w:spacing w:after="0" w:line="240" w:lineRule="auto"/>
        <w:ind w:left="202"/>
        <w:mirrorIndents/>
        <w:jc w:val="both"/>
        <w:rPr>
          <w:rFonts w:ascii="Times New Roman" w:hAnsi="Times New Roman" w:cs="Times New Roman"/>
          <w:sz w:val="20"/>
          <w:szCs w:val="20"/>
        </w:rPr>
      </w:pPr>
      <w:r w:rsidRPr="00562C42">
        <w:rPr>
          <w:rFonts w:ascii="Times New Roman" w:hAnsi="Times New Roman" w:cs="Times New Roman"/>
          <w:sz w:val="20"/>
          <w:szCs w:val="20"/>
        </w:rPr>
        <w:t xml:space="preserve">Generally, GaN substrates can be classified into two categories based on homogeneous characteristics in </w:t>
      </w:r>
      <w:r w:rsidRPr="00562C42">
        <w:rPr>
          <w:rFonts w:ascii="Times New Roman" w:hAnsi="Times New Roman" w:cs="Times New Roman"/>
          <w:sz w:val="20"/>
          <w:szCs w:val="20"/>
        </w:rPr>
        <w:lastRenderedPageBreak/>
        <w:t xml:space="preserve">impurities and defects (uniform) and those with inhomogeneous characteristics of impurities and defects (non-uniform) </w:t>
      </w:r>
      <w:r w:rsidR="000C069B">
        <w:rPr>
          <w:rFonts w:ascii="Times New Roman" w:hAnsi="Times New Roman" w:cs="Times New Roman"/>
          <w:sz w:val="20"/>
          <w:szCs w:val="20"/>
        </w:rPr>
        <w:fldChar w:fldCharType="begin" w:fldLock="1"/>
      </w:r>
      <w:r w:rsidR="000C069B">
        <w:rPr>
          <w:rFonts w:ascii="Times New Roman" w:hAnsi="Times New Roman" w:cs="Times New Roman"/>
          <w:sz w:val="20"/>
          <w:szCs w:val="20"/>
        </w:rPr>
        <w:instrText>ADDIN CSL_CITATION {"citationItems":[{"id":"ITEM-1","itemData":{"DOI":"10.1016/j.jcrysgro.2018.10.032","ISSN":"00220248","abstract":"It has been well established that GaN grown on native substrates yields higher quality films compared to those grown on non-native substrates, such as SiC or Si. However, homoepitaxy is hindered by the lack of inexpensive high-quality GaN substrates. The importance of substrate quality, in particular defects and impurities, arises from its impact on device performance. Many of the imperfections in GaN substrates are inhomogeneous, thus are often not detected when short-range techniques are used.Therefore, methods for evaluating substrate quality over long ranges need to be developed. This research reports the study of these defects on four different GaN wafers from four different vendors using quick, long-range, non-destructive techniques that can be performed in a few hours. All samples arespected to be n+ and should theoredically be suited for use in GaN homoepitaxial vertical power devices, though had different properties that could impact device performance. Through evaluation by Raman spectroscopy, photoluminescence, white light optical profilometry, and Nomarski imaging concentrations of grain boundaries, impurity incorporations, point defects, v-shaped cone defects, polishing defects, crystal stress damage, and insulating and conducive regions were identified across the various GaN substrates studied.","author":[{"dropping-particle":"","family":"Gallagher","given":"J. C.","non-dropping-particle":"","parse-names":false,"suffix":""},{"dropping-particle":"","family":"Anderson","given":"T. J.","non-dropping-particle":"","parse-names":false,"suffix":""},{"dropping-particle":"","family":"Luna","given":"L. E.","non-dropping-particle":"","parse-names":false,"suffix":""},{"dropping-particle":"","family":"Koehler","given":"A. D.","non-dropping-particle":"","parse-names":false,"suffix":""},{"dropping-particle":"","family":"Hite","given":"J. K.","non-dropping-particle":"","parse-names":false,"suffix":""},{"dropping-particle":"","family":"Mahadik","given":"N. A.","non-dropping-particle":"","parse-names":false,"suffix":""},{"dropping-particle":"","family":"Hobart","given":"K. D.","non-dropping-particle":"","parse-names":false,"suffix":""},{"dropping-particle":"","family":"Kub","given":"F. J.","non-dropping-particle":"","parse-names":false,"suffix":""}],"container-title":"Journal of Crystal Growth","id":"ITEM-1","issue":"October 2018","issued":{"date-parts":[["2019"]]},"page":"178-184","publisher":"Elsevier B.V.","title":"Long range, non-destructive characterization of GaN substrates for power devices","type":"article-journal","volume":"506"},"uris":["http://www.mendeley.com/documents/?uuid=80f79913-914c-47b9-8e53-30ace675fcaa"]}],"mendeley":{"formattedCitation":"[3]","plainTextFormattedCitation":"[3]","previouslyFormattedCitation":"[3]"},"properties":{"noteIndex":0},"schema":"https://github.com/citation-style-language/schema/raw/master/csl-citation.json"}</w:instrText>
      </w:r>
      <w:r w:rsidR="000C069B">
        <w:rPr>
          <w:rFonts w:ascii="Times New Roman" w:hAnsi="Times New Roman" w:cs="Times New Roman"/>
          <w:sz w:val="20"/>
          <w:szCs w:val="20"/>
        </w:rPr>
        <w:fldChar w:fldCharType="separate"/>
      </w:r>
      <w:r w:rsidR="000C069B" w:rsidRPr="000C069B">
        <w:rPr>
          <w:rFonts w:ascii="Times New Roman" w:hAnsi="Times New Roman" w:cs="Times New Roman"/>
          <w:noProof/>
          <w:sz w:val="20"/>
          <w:szCs w:val="20"/>
        </w:rPr>
        <w:t>[3]</w:t>
      </w:r>
      <w:r w:rsidR="000C069B">
        <w:rPr>
          <w:rFonts w:ascii="Times New Roman" w:hAnsi="Times New Roman" w:cs="Times New Roman"/>
          <w:sz w:val="20"/>
          <w:szCs w:val="20"/>
        </w:rPr>
        <w:fldChar w:fldCharType="end"/>
      </w:r>
      <w:r w:rsidR="000C33A5">
        <w:rPr>
          <w:rFonts w:ascii="Times New Roman" w:hAnsi="Times New Roman" w:cs="Times New Roman"/>
          <w:sz w:val="20"/>
          <w:szCs w:val="20"/>
        </w:rPr>
        <w:t>.</w:t>
      </w:r>
      <w:r w:rsidR="000C069B">
        <w:rPr>
          <w:rFonts w:ascii="Times New Roman" w:hAnsi="Times New Roman" w:cs="Times New Roman"/>
          <w:sz w:val="20"/>
          <w:szCs w:val="20"/>
        </w:rPr>
        <w:t xml:space="preserve"> </w:t>
      </w:r>
      <w:r w:rsidRPr="00562C42">
        <w:rPr>
          <w:rFonts w:ascii="Times New Roman" w:hAnsi="Times New Roman" w:cs="Times New Roman"/>
          <w:sz w:val="20"/>
          <w:szCs w:val="20"/>
        </w:rPr>
        <w:t>A cross-section schematic of the devices is shown in Figure 2, and the manufacturing process and typical device behavi</w:t>
      </w:r>
      <w:r w:rsidR="008D2F37">
        <w:rPr>
          <w:rFonts w:ascii="Times New Roman" w:hAnsi="Times New Roman" w:cs="Times New Roman"/>
          <w:sz w:val="20"/>
          <w:szCs w:val="20"/>
        </w:rPr>
        <w:t>or is previously described</w:t>
      </w:r>
      <w:r w:rsidR="00D67923">
        <w:rPr>
          <w:rFonts w:ascii="Times New Roman" w:hAnsi="Times New Roman" w:cs="Times New Roman"/>
          <w:sz w:val="20"/>
          <w:szCs w:val="20"/>
        </w:rPr>
        <w:t xml:space="preserve"> </w:t>
      </w:r>
      <w:r w:rsidR="008D2F37">
        <w:rPr>
          <w:rFonts w:ascii="Times New Roman" w:hAnsi="Times New Roman" w:cs="Times New Roman"/>
          <w:sz w:val="20"/>
          <w:szCs w:val="20"/>
        </w:rPr>
        <w:fldChar w:fldCharType="begin" w:fldLock="1"/>
      </w:r>
      <w:r w:rsidR="00D774D1">
        <w:rPr>
          <w:rFonts w:ascii="Times New Roman" w:hAnsi="Times New Roman" w:cs="Times New Roman"/>
          <w:sz w:val="20"/>
          <w:szCs w:val="20"/>
        </w:rPr>
        <w:instrText>ADDIN CSL_CITATION {"citationItems":[{"id":"ITEM-1","itemData":{"DOI":"10.1109/TED.2013.2266664","ISSN":"00189383","abstract":"In this paper, vertical p-n diodes fabricated on pseudobulk gallium nitride (GaN) substrates are discussed. The measured devices demonstrate breakdown voltages of 2600 V with a differential specific on-resistance of 2 ${\\rm m}\\Omega~{\\rm cm}2. This performance places these structures beyond the SiC theoretical limit on the power device figure of merit chart. Contrary to common belief, GaN devices do possess avalanche capability. The temperature coefficient of the breakdown voltage is positive, showing that the breakdown is indeed because of impact ionization and avalanche. This is an important property of the device for operation in inductive switching environments. Critical electric field and mobility parameters for epitaxial GaN layers grown on bulk GaN are extracted from electrical measurements. The reverse recovery time of the vertical GaN p-n diode is not discernible because it is limited by capacitance rather than minority carrier storage, and because of this its switching performance exceeds the highest speed silicon diode. © 1963-2012 IEEE.","author":[{"dropping-particle":"","family":"Kizilyalli","given":"Isik C.","non-dropping-particle":"","parse-names":false,"suffix":""},{"dropping-particle":"","family":"Edwards","given":"Andrew P.","non-dropping-particle":"","parse-names":false,"suffix":""},{"dropping-particle":"","family":"Nie","given":"Hui","non-dropping-particle":"","parse-names":false,"suffix":""},{"dropping-particle":"","family":"Disney","given":"Don","non-dropping-particle":"","parse-names":false,"suffix":""},{"dropping-particle":"","family":"Bour","given":"Dave","non-dropping-particle":"","parse-names":false,"suffix":""}],"container-title":"IEEE Transactions on Electron Devices","id":"ITEM-1","issue":"10","issued":{"date-parts":[["2013"]]},"page":"3067-3070","publisher":"IEEE","title":"High voltage vertical GaN p-n diodes with avalanche capability","type":"article-journal","volume":"60"},"uris":["http://www.mendeley.com/documents/?uuid=fb3343a7-d859-40f9-bd30-850b565ca42a"]}],"mendeley":{"formattedCitation":"[4]","plainTextFormattedCitation":"[4]","previouslyFormattedCitation":"[4]"},"properties":{"noteIndex":0},"schema":"https://github.com/citation-style-language/schema/raw/master/csl-citation.json"}</w:instrText>
      </w:r>
      <w:r w:rsidR="008D2F37">
        <w:rPr>
          <w:rFonts w:ascii="Times New Roman" w:hAnsi="Times New Roman" w:cs="Times New Roman"/>
          <w:sz w:val="20"/>
          <w:szCs w:val="20"/>
        </w:rPr>
        <w:fldChar w:fldCharType="separate"/>
      </w:r>
      <w:r w:rsidR="008D2F37" w:rsidRPr="008D2F37">
        <w:rPr>
          <w:rFonts w:ascii="Times New Roman" w:hAnsi="Times New Roman" w:cs="Times New Roman"/>
          <w:noProof/>
          <w:sz w:val="20"/>
          <w:szCs w:val="20"/>
        </w:rPr>
        <w:t>[4]</w:t>
      </w:r>
      <w:r w:rsidR="008D2F37">
        <w:rPr>
          <w:rFonts w:ascii="Times New Roman" w:hAnsi="Times New Roman" w:cs="Times New Roman"/>
          <w:sz w:val="20"/>
          <w:szCs w:val="20"/>
        </w:rPr>
        <w:fldChar w:fldCharType="end"/>
      </w:r>
      <w:r w:rsidR="000C33A5">
        <w:rPr>
          <w:rFonts w:ascii="Times New Roman" w:hAnsi="Times New Roman" w:cs="Times New Roman"/>
          <w:sz w:val="20"/>
          <w:szCs w:val="20"/>
        </w:rPr>
        <w:t>.</w:t>
      </w:r>
      <w:r w:rsidRPr="00562C42">
        <w:rPr>
          <w:rFonts w:ascii="Times New Roman" w:hAnsi="Times New Roman" w:cs="Times New Roman"/>
          <w:sz w:val="20"/>
          <w:szCs w:val="20"/>
        </w:rPr>
        <w:t xml:space="preserve"> Two devices from two different non-uniform substrates were utilized for this study, device A is from Substrate-1 and device B from Substrate-2 were measured under DC I-V sweep using Keithley 4200, shown in Figure 3. The I-V plot illustrated a typical </w:t>
      </w:r>
      <w:proofErr w:type="spellStart"/>
      <w:r w:rsidRPr="00562C42">
        <w:rPr>
          <w:rFonts w:ascii="Times New Roman" w:hAnsi="Times New Roman" w:cs="Times New Roman"/>
          <w:sz w:val="20"/>
          <w:szCs w:val="20"/>
        </w:rPr>
        <w:t>PiN</w:t>
      </w:r>
      <w:proofErr w:type="spellEnd"/>
      <w:r w:rsidRPr="00562C42">
        <w:rPr>
          <w:rFonts w:ascii="Times New Roman" w:hAnsi="Times New Roman" w:cs="Times New Roman"/>
          <w:sz w:val="20"/>
          <w:szCs w:val="20"/>
        </w:rPr>
        <w:t xml:space="preserve"> diode behavior, both devices have identical performance. </w:t>
      </w:r>
    </w:p>
    <w:p w14:paraId="2B72097D" w14:textId="77777777" w:rsidR="00562C42" w:rsidRDefault="00562C42" w:rsidP="00562C42">
      <w:pPr>
        <w:keepNext/>
        <w:spacing w:after="0" w:line="240" w:lineRule="auto"/>
        <w:ind w:left="202"/>
        <w:mirrorIndents/>
        <w:jc w:val="both"/>
        <w:rPr>
          <w:rFonts w:ascii="Times New Roman" w:hAnsi="Times New Roman" w:cs="Times New Roman"/>
          <w:sz w:val="20"/>
          <w:szCs w:val="20"/>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tblGrid>
      <w:tr w:rsidR="00562C42" w14:paraId="2B72097F" w14:textId="77777777" w:rsidTr="009D086C">
        <w:tc>
          <w:tcPr>
            <w:tcW w:w="4958" w:type="dxa"/>
          </w:tcPr>
          <w:p w14:paraId="2B72097E" w14:textId="77777777" w:rsidR="00562C42" w:rsidRDefault="00562C42" w:rsidP="00562C42">
            <w:pPr>
              <w:keepNext/>
              <w:mirrorIndent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B7209B5" wp14:editId="2B7209B6">
                  <wp:extent cx="2492829" cy="2563078"/>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0697" cy="2571168"/>
                          </a:xfrm>
                          <a:prstGeom prst="rect">
                            <a:avLst/>
                          </a:prstGeom>
                        </pic:spPr>
                      </pic:pic>
                    </a:graphicData>
                  </a:graphic>
                </wp:inline>
              </w:drawing>
            </w:r>
          </w:p>
        </w:tc>
      </w:tr>
      <w:tr w:rsidR="00562C42" w14:paraId="2B720981" w14:textId="77777777" w:rsidTr="009D086C">
        <w:tc>
          <w:tcPr>
            <w:tcW w:w="4958" w:type="dxa"/>
          </w:tcPr>
          <w:p w14:paraId="2B720980" w14:textId="77777777" w:rsidR="00562C42" w:rsidRDefault="00C546A1" w:rsidP="009D086C">
            <w:pPr>
              <w:keepNext/>
              <w:mirrorIndents/>
              <w:jc w:val="both"/>
              <w:rPr>
                <w:rFonts w:ascii="Times New Roman" w:hAnsi="Times New Roman" w:cs="Times New Roman"/>
                <w:sz w:val="20"/>
                <w:szCs w:val="20"/>
              </w:rPr>
            </w:pPr>
            <w:r w:rsidRPr="00C546A1">
              <w:rPr>
                <w:rFonts w:ascii="Times New Roman" w:hAnsi="Times New Roman" w:cs="Times New Roman"/>
                <w:sz w:val="20"/>
                <w:szCs w:val="20"/>
              </w:rPr>
              <w:t xml:space="preserve">Figure 2: Schematic of a vertical </w:t>
            </w:r>
            <w:proofErr w:type="spellStart"/>
            <w:r w:rsidRPr="00C546A1">
              <w:rPr>
                <w:rFonts w:ascii="Times New Roman" w:hAnsi="Times New Roman" w:cs="Times New Roman"/>
                <w:sz w:val="20"/>
                <w:szCs w:val="20"/>
              </w:rPr>
              <w:t>PiN</w:t>
            </w:r>
            <w:proofErr w:type="spellEnd"/>
            <w:r w:rsidRPr="00C546A1">
              <w:rPr>
                <w:rFonts w:ascii="Times New Roman" w:hAnsi="Times New Roman" w:cs="Times New Roman"/>
                <w:sz w:val="20"/>
                <w:szCs w:val="20"/>
              </w:rPr>
              <w:t xml:space="preserve"> </w:t>
            </w:r>
            <w:proofErr w:type="spellStart"/>
            <w:r w:rsidRPr="00C546A1">
              <w:rPr>
                <w:rFonts w:ascii="Times New Roman" w:hAnsi="Times New Roman" w:cs="Times New Roman"/>
                <w:sz w:val="20"/>
                <w:szCs w:val="20"/>
              </w:rPr>
              <w:t>GaN</w:t>
            </w:r>
            <w:proofErr w:type="spellEnd"/>
            <w:r w:rsidR="009D086C">
              <w:rPr>
                <w:rFonts w:ascii="Times New Roman" w:hAnsi="Times New Roman" w:cs="Times New Roman"/>
                <w:sz w:val="20"/>
                <w:szCs w:val="20"/>
              </w:rPr>
              <w:t>.</w:t>
            </w:r>
          </w:p>
        </w:tc>
      </w:tr>
    </w:tbl>
    <w:p w14:paraId="2B720982" w14:textId="77777777" w:rsidR="00562C42" w:rsidRPr="00562C42" w:rsidRDefault="00562C42" w:rsidP="00562C42">
      <w:pPr>
        <w:keepNext/>
        <w:spacing w:after="0" w:line="240" w:lineRule="auto"/>
        <w:ind w:left="202"/>
        <w:mirrorIndents/>
        <w:jc w:val="both"/>
        <w:rPr>
          <w:rFonts w:ascii="Times New Roman" w:hAnsi="Times New Roman" w:cs="Times New Roman"/>
          <w:sz w:val="20"/>
          <w:szCs w:val="20"/>
        </w:rPr>
      </w:pPr>
    </w:p>
    <w:p w14:paraId="2B720983" w14:textId="77777777" w:rsidR="00562C42" w:rsidRDefault="008D2F37" w:rsidP="008D2F37">
      <w:pPr>
        <w:keepNext/>
        <w:spacing w:after="0" w:line="240" w:lineRule="auto"/>
        <w:ind w:left="202"/>
        <w:mirrorIndents/>
        <w:jc w:val="both"/>
        <w:rPr>
          <w:rFonts w:ascii="Times New Roman" w:hAnsi="Times New Roman" w:cs="Times New Roman"/>
          <w:sz w:val="20"/>
          <w:szCs w:val="20"/>
        </w:rPr>
      </w:pPr>
      <w:r w:rsidRPr="008D2F37">
        <w:rPr>
          <w:rFonts w:ascii="Times New Roman" w:hAnsi="Times New Roman" w:cs="Times New Roman"/>
          <w:sz w:val="20"/>
          <w:szCs w:val="20"/>
        </w:rPr>
        <w:t>A standard spectrometer was used to collect and analyze the luminescence</w:t>
      </w:r>
      <w:r w:rsidR="00562C42" w:rsidRPr="00562C42">
        <w:rPr>
          <w:rFonts w:ascii="Times New Roman" w:hAnsi="Times New Roman" w:cs="Times New Roman"/>
          <w:sz w:val="20"/>
          <w:szCs w:val="20"/>
        </w:rPr>
        <w:t xml:space="preserve"> during a forward bias condition of 0.9</w:t>
      </w:r>
      <w:r>
        <w:rPr>
          <w:rFonts w:ascii="Times New Roman" w:hAnsi="Times New Roman" w:cs="Times New Roman"/>
          <w:sz w:val="20"/>
          <w:szCs w:val="20"/>
        </w:rPr>
        <w:t>A with a 10sec acquisition time</w:t>
      </w:r>
      <w:r w:rsidR="00562C42" w:rsidRPr="00562C42">
        <w:rPr>
          <w:rFonts w:ascii="Times New Roman" w:hAnsi="Times New Roman" w:cs="Times New Roman"/>
          <w:sz w:val="20"/>
          <w:szCs w:val="20"/>
        </w:rPr>
        <w:t>. The bias current needs to be relatively high because the fiber entrance is fixed a probe manipulator without an objective to guide the light</w:t>
      </w:r>
      <w:r w:rsidR="00562C42" w:rsidRPr="00562C42">
        <w:t xml:space="preserve"> </w:t>
      </w:r>
      <w:r w:rsidR="00562C42" w:rsidRPr="00562C42">
        <w:rPr>
          <w:rFonts w:ascii="Times New Roman" w:hAnsi="Times New Roman" w:cs="Times New Roman"/>
          <w:sz w:val="20"/>
          <w:szCs w:val="20"/>
        </w:rPr>
        <w:t xml:space="preserve">thus a high current is needed to compensate for the loss in photons. This short loop test can be easily implemented into a </w:t>
      </w:r>
      <w:r w:rsidR="00562C42">
        <w:rPr>
          <w:rFonts w:ascii="Times New Roman" w:hAnsi="Times New Roman" w:cs="Times New Roman"/>
          <w:sz w:val="20"/>
          <w:szCs w:val="20"/>
        </w:rPr>
        <w:t xml:space="preserve">production line to predict the </w:t>
      </w:r>
      <w:r w:rsidR="00562C42" w:rsidRPr="00562C42">
        <w:rPr>
          <w:rFonts w:ascii="Times New Roman" w:hAnsi="Times New Roman" w:cs="Times New Roman"/>
          <w:sz w:val="20"/>
          <w:szCs w:val="20"/>
        </w:rPr>
        <w:t>reliability results. The spectra from both devices A&amp;B are</w:t>
      </w:r>
      <w:r w:rsidR="00562C42">
        <w:rPr>
          <w:rFonts w:ascii="Times New Roman" w:hAnsi="Times New Roman" w:cs="Times New Roman"/>
          <w:sz w:val="20"/>
          <w:szCs w:val="20"/>
        </w:rPr>
        <w:t xml:space="preserve"> plotted in</w:t>
      </w:r>
      <w:r>
        <w:rPr>
          <w:rFonts w:ascii="Times New Roman" w:hAnsi="Times New Roman" w:cs="Times New Roman"/>
          <w:sz w:val="20"/>
          <w:szCs w:val="20"/>
        </w:rPr>
        <w:t xml:space="preserve"> Figure 3. </w:t>
      </w:r>
      <w:r w:rsidR="00562C42" w:rsidRPr="00562C42">
        <w:rPr>
          <w:rFonts w:ascii="Times New Roman" w:hAnsi="Times New Roman" w:cs="Times New Roman"/>
          <w:sz w:val="20"/>
          <w:szCs w:val="20"/>
        </w:rPr>
        <w:t xml:space="preserve"> </w:t>
      </w:r>
      <w:r w:rsidRPr="008D2F37">
        <w:rPr>
          <w:rFonts w:ascii="Times New Roman" w:hAnsi="Times New Roman" w:cs="Times New Roman"/>
          <w:sz w:val="20"/>
          <w:szCs w:val="20"/>
        </w:rPr>
        <w:t xml:space="preserve">The spectra in Figure 3 show a distinct difference between the two devices that was not </w:t>
      </w:r>
      <w:r>
        <w:rPr>
          <w:rFonts w:ascii="Times New Roman" w:hAnsi="Times New Roman" w:cs="Times New Roman"/>
          <w:sz w:val="20"/>
          <w:szCs w:val="20"/>
        </w:rPr>
        <w:t>clear</w:t>
      </w:r>
      <w:r w:rsidRPr="008D2F37">
        <w:rPr>
          <w:rFonts w:ascii="Times New Roman" w:hAnsi="Times New Roman" w:cs="Times New Roman"/>
          <w:sz w:val="20"/>
          <w:szCs w:val="20"/>
        </w:rPr>
        <w:t xml:space="preserve"> from </w:t>
      </w:r>
      <w:r>
        <w:rPr>
          <w:rFonts w:ascii="Times New Roman" w:hAnsi="Times New Roman" w:cs="Times New Roman"/>
          <w:sz w:val="20"/>
          <w:szCs w:val="20"/>
        </w:rPr>
        <w:t>the</w:t>
      </w:r>
      <w:r w:rsidRPr="008D2F37">
        <w:rPr>
          <w:rFonts w:ascii="Times New Roman" w:hAnsi="Times New Roman" w:cs="Times New Roman"/>
          <w:sz w:val="20"/>
          <w:szCs w:val="20"/>
        </w:rPr>
        <w:t xml:space="preserve"> DC I-V sweep plotted at the top of the same figure. The DC I-V sweep characteristics for devices A and B are plotted to </w:t>
      </w:r>
      <w:r>
        <w:rPr>
          <w:rFonts w:ascii="Times New Roman" w:hAnsi="Times New Roman" w:cs="Times New Roman"/>
          <w:sz w:val="20"/>
          <w:szCs w:val="20"/>
        </w:rPr>
        <w:t xml:space="preserve">an absolute scale </w:t>
      </w:r>
      <w:r w:rsidRPr="008D2F37">
        <w:rPr>
          <w:rFonts w:ascii="Times New Roman" w:hAnsi="Times New Roman" w:cs="Times New Roman"/>
          <w:sz w:val="20"/>
          <w:szCs w:val="20"/>
        </w:rPr>
        <w:t>the spectra plot was normalized. The normalization was needed due to the difference in the absolute number of counts between the two devices. A more sophisticated apparatus can be implemented to collect the photons with minimum loss in the future.</w:t>
      </w:r>
    </w:p>
    <w:p w14:paraId="2B720984" w14:textId="77777777" w:rsidR="008D2F37" w:rsidRPr="008D2F37" w:rsidRDefault="008D2F37" w:rsidP="008D2F37">
      <w:pPr>
        <w:keepNext/>
        <w:spacing w:after="0" w:line="240" w:lineRule="auto"/>
        <w:ind w:left="202"/>
        <w:mirrorIndents/>
        <w:jc w:val="both"/>
        <w:rPr>
          <w:rFonts w:ascii="Times New Roman" w:hAnsi="Times New Roman" w:cs="Times New Roman"/>
          <w:sz w:val="20"/>
          <w:szCs w:val="20"/>
        </w:rPr>
      </w:pPr>
    </w:p>
    <w:p w14:paraId="2B720985" w14:textId="77777777" w:rsidR="00C546A1" w:rsidRDefault="00562C42" w:rsidP="00562C42">
      <w:pPr>
        <w:keepNext/>
        <w:spacing w:after="0" w:line="240" w:lineRule="auto"/>
        <w:ind w:left="202"/>
        <w:mirrorIndents/>
        <w:jc w:val="both"/>
        <w:rPr>
          <w:rFonts w:ascii="Times New Roman" w:hAnsi="Times New Roman" w:cs="Times New Roman"/>
          <w:sz w:val="20"/>
          <w:szCs w:val="20"/>
        </w:rPr>
      </w:pPr>
      <w:r w:rsidRPr="00562C42">
        <w:rPr>
          <w:rFonts w:ascii="Times New Roman" w:hAnsi="Times New Roman" w:cs="Times New Roman"/>
          <w:sz w:val="20"/>
          <w:szCs w:val="20"/>
        </w:rPr>
        <w:t xml:space="preserve">To spatially resolve the reverse current and determine the failure points, Hyperspectral mapping can be utilized to locate the luminescence points on the device by imposing the emission location in pixel on the optical image taken by the same tool. The electroluminescence mapping of the </w:t>
      </w:r>
      <w:r w:rsidRPr="00562C42">
        <w:rPr>
          <w:rFonts w:ascii="Times New Roman" w:hAnsi="Times New Roman" w:cs="Times New Roman"/>
          <w:sz w:val="20"/>
          <w:szCs w:val="20"/>
        </w:rPr>
        <w:lastRenderedPageBreak/>
        <w:t xml:space="preserve">device emission starts at the forward bias to identify certain wavelengths of interest. </w:t>
      </w:r>
    </w:p>
    <w:p w14:paraId="2B720986" w14:textId="77777777" w:rsidR="00C546A1" w:rsidRDefault="00C546A1" w:rsidP="00562C42">
      <w:pPr>
        <w:keepNext/>
        <w:spacing w:after="0" w:line="240" w:lineRule="auto"/>
        <w:ind w:left="202"/>
        <w:mirrorIndents/>
        <w:jc w:val="both"/>
        <w:rPr>
          <w:rFonts w:ascii="Times New Roman" w:hAnsi="Times New Roman" w:cs="Times New Roman"/>
          <w:sz w:val="20"/>
          <w:szCs w:val="20"/>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tblGrid>
      <w:tr w:rsidR="00C546A1" w14:paraId="2B720988" w14:textId="77777777" w:rsidTr="0029182C">
        <w:tc>
          <w:tcPr>
            <w:tcW w:w="4958" w:type="dxa"/>
          </w:tcPr>
          <w:p w14:paraId="2B720987" w14:textId="77777777" w:rsidR="00C546A1" w:rsidRDefault="00C546A1" w:rsidP="00C546A1">
            <w:pPr>
              <w:keepNext/>
              <w:mirrorIndent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B7209B7" wp14:editId="2B7209B8">
                  <wp:extent cx="3154680" cy="4488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4680" cy="4488180"/>
                          </a:xfrm>
                          <a:prstGeom prst="rect">
                            <a:avLst/>
                          </a:prstGeom>
                        </pic:spPr>
                      </pic:pic>
                    </a:graphicData>
                  </a:graphic>
                </wp:inline>
              </w:drawing>
            </w:r>
          </w:p>
        </w:tc>
      </w:tr>
      <w:tr w:rsidR="00C546A1" w14:paraId="2B72098A" w14:textId="77777777" w:rsidTr="0029182C">
        <w:tc>
          <w:tcPr>
            <w:tcW w:w="4958" w:type="dxa"/>
          </w:tcPr>
          <w:p w14:paraId="2B720989" w14:textId="77777777" w:rsidR="00C546A1" w:rsidRDefault="00C546A1" w:rsidP="001404D4">
            <w:pPr>
              <w:keepNext/>
              <w:mirrorIndents/>
              <w:jc w:val="both"/>
              <w:rPr>
                <w:rFonts w:ascii="Times New Roman" w:hAnsi="Times New Roman" w:cs="Times New Roman"/>
                <w:sz w:val="20"/>
                <w:szCs w:val="20"/>
              </w:rPr>
            </w:pPr>
            <w:r w:rsidRPr="00C546A1">
              <w:rPr>
                <w:rFonts w:ascii="Times New Roman" w:hAnsi="Times New Roman" w:cs="Times New Roman"/>
                <w:sz w:val="20"/>
                <w:szCs w:val="20"/>
              </w:rPr>
              <w:t xml:space="preserve">Figure </w:t>
            </w:r>
            <w:r>
              <w:rPr>
                <w:rFonts w:ascii="Times New Roman" w:hAnsi="Times New Roman" w:cs="Times New Roman"/>
                <w:sz w:val="20"/>
                <w:szCs w:val="20"/>
              </w:rPr>
              <w:t>3</w:t>
            </w:r>
            <w:r w:rsidRPr="00C546A1">
              <w:rPr>
                <w:rFonts w:ascii="Times New Roman" w:hAnsi="Times New Roman" w:cs="Times New Roman"/>
                <w:sz w:val="20"/>
                <w:szCs w:val="20"/>
              </w:rPr>
              <w:t>:</w:t>
            </w:r>
            <w:r>
              <w:rPr>
                <w:rFonts w:ascii="Times New Roman" w:hAnsi="Times New Roman" w:cs="Times New Roman"/>
                <w:sz w:val="20"/>
                <w:szCs w:val="20"/>
              </w:rPr>
              <w:t xml:space="preserve"> </w:t>
            </w:r>
            <w:r w:rsidR="001404D4">
              <w:rPr>
                <w:rFonts w:ascii="Times New Roman" w:hAnsi="Times New Roman" w:cs="Times New Roman"/>
                <w:sz w:val="20"/>
                <w:szCs w:val="20"/>
              </w:rPr>
              <w:t xml:space="preserve">DC </w:t>
            </w:r>
            <w:r w:rsidRPr="00C546A1">
              <w:rPr>
                <w:rFonts w:ascii="Times New Roman" w:hAnsi="Times New Roman" w:cs="Times New Roman"/>
                <w:sz w:val="20"/>
                <w:szCs w:val="20"/>
              </w:rPr>
              <w:t xml:space="preserve">I-V sweep for both devices from different non-uniform substrates. </w:t>
            </w:r>
            <w:r w:rsidR="001404D4">
              <w:rPr>
                <w:rFonts w:ascii="Times New Roman" w:hAnsi="Times New Roman" w:cs="Times New Roman"/>
                <w:sz w:val="20"/>
                <w:szCs w:val="20"/>
              </w:rPr>
              <w:t xml:space="preserve">The </w:t>
            </w:r>
            <w:r w:rsidRPr="00C546A1">
              <w:rPr>
                <w:rFonts w:ascii="Times New Roman" w:hAnsi="Times New Roman" w:cs="Times New Roman"/>
                <w:sz w:val="20"/>
                <w:szCs w:val="20"/>
              </w:rPr>
              <w:t xml:space="preserve">standard spectrometer </w:t>
            </w:r>
            <w:r w:rsidR="001404D4">
              <w:rPr>
                <w:rFonts w:ascii="Times New Roman" w:hAnsi="Times New Roman" w:cs="Times New Roman"/>
                <w:sz w:val="20"/>
                <w:szCs w:val="20"/>
              </w:rPr>
              <w:t xml:space="preserve">spectra </w:t>
            </w:r>
            <w:r w:rsidRPr="00C546A1">
              <w:rPr>
                <w:rFonts w:ascii="Times New Roman" w:hAnsi="Times New Roman" w:cs="Times New Roman"/>
                <w:sz w:val="20"/>
                <w:szCs w:val="20"/>
              </w:rPr>
              <w:t xml:space="preserve">for the same devices under </w:t>
            </w:r>
            <w:r w:rsidR="001404D4">
              <w:rPr>
                <w:rFonts w:ascii="Times New Roman" w:hAnsi="Times New Roman" w:cs="Times New Roman"/>
                <w:sz w:val="20"/>
                <w:szCs w:val="20"/>
              </w:rPr>
              <w:t>0.9A forward current hold.</w:t>
            </w:r>
          </w:p>
        </w:tc>
      </w:tr>
    </w:tbl>
    <w:p w14:paraId="2B72098B" w14:textId="77777777" w:rsidR="00C546A1" w:rsidRDefault="00C546A1" w:rsidP="00562C42">
      <w:pPr>
        <w:keepNext/>
        <w:spacing w:after="0" w:line="240" w:lineRule="auto"/>
        <w:ind w:left="202"/>
        <w:mirrorIndents/>
        <w:jc w:val="both"/>
        <w:rPr>
          <w:rFonts w:ascii="Times New Roman" w:hAnsi="Times New Roman" w:cs="Times New Roman"/>
          <w:sz w:val="20"/>
          <w:szCs w:val="20"/>
        </w:rPr>
      </w:pPr>
    </w:p>
    <w:p w14:paraId="2B72098C" w14:textId="77777777" w:rsidR="00562C42" w:rsidRDefault="00562C42" w:rsidP="003529F0">
      <w:pPr>
        <w:keepNext/>
        <w:spacing w:after="0" w:line="240" w:lineRule="auto"/>
        <w:ind w:left="202"/>
        <w:mirrorIndents/>
        <w:jc w:val="both"/>
        <w:rPr>
          <w:rFonts w:ascii="Times New Roman" w:hAnsi="Times New Roman" w:cs="Times New Roman"/>
          <w:sz w:val="20"/>
          <w:szCs w:val="20"/>
        </w:rPr>
      </w:pPr>
      <w:r w:rsidRPr="00562C42">
        <w:rPr>
          <w:rFonts w:ascii="Times New Roman" w:hAnsi="Times New Roman" w:cs="Times New Roman"/>
          <w:sz w:val="20"/>
          <w:szCs w:val="20"/>
        </w:rPr>
        <w:t xml:space="preserve">A series of monochromatic images with 10nm step size were taken to enable pixel-by-pixel spectrum extraction at the forward bias of 0.1A and same acquisition time for both devices. The forward current was reduced to 0.1A to avoid saturating the cooled CCD detector. Figures 4 and 5 illustrate the broadband EL image, capturing all wavelengths, along with the extracted pixel intensity vs wavelength from the data cube, chosen at 5 points within the device structure. Once the forward imaging is completed and certain peaks have been identified, reverse bias test can be applied to evaluate high field points. Because the acquisition time under reverse bias is substantially longer, full range hyperspectral mapping is not practical, thus a series of monochromatic images was taken to focus in the previously identified defect bands. Reverse I-V measurements to 1kV were taken with a Keithley 237 SMU, indicating different levels of leakage current at high reverse </w:t>
      </w:r>
      <w:r w:rsidRPr="00562C42">
        <w:rPr>
          <w:rFonts w:ascii="Times New Roman" w:hAnsi="Times New Roman" w:cs="Times New Roman"/>
          <w:sz w:val="20"/>
          <w:szCs w:val="20"/>
        </w:rPr>
        <w:lastRenderedPageBreak/>
        <w:t xml:space="preserve">bias. Figure 6.a shows the reverse I-V reverse sweep for both devices A &amp; B from zero to 1kV. Device A experiences three order of magnitude less leakage than device B. Therefore, device A cannot be studied under these reverse conditions to 1kV as the leakage current is too low </w:t>
      </w:r>
      <w:r w:rsidR="003529F0">
        <w:rPr>
          <w:rFonts w:ascii="Times New Roman" w:hAnsi="Times New Roman" w:cs="Times New Roman"/>
          <w:sz w:val="20"/>
          <w:szCs w:val="20"/>
        </w:rPr>
        <w:t>to generate monochromatic images</w:t>
      </w:r>
      <w:r w:rsidRPr="00562C42">
        <w:rPr>
          <w:rFonts w:ascii="Times New Roman" w:hAnsi="Times New Roman" w:cs="Times New Roman"/>
          <w:sz w:val="20"/>
          <w:szCs w:val="20"/>
        </w:rPr>
        <w:t xml:space="preserve">. Generally, running a reverse bias requires either vacuum setting or </w:t>
      </w:r>
      <w:proofErr w:type="spellStart"/>
      <w:r w:rsidRPr="00562C42">
        <w:rPr>
          <w:rFonts w:ascii="Times New Roman" w:hAnsi="Times New Roman" w:cs="Times New Roman"/>
          <w:sz w:val="20"/>
          <w:szCs w:val="20"/>
        </w:rPr>
        <w:t>fluorinert</w:t>
      </w:r>
      <w:proofErr w:type="spellEnd"/>
      <w:r w:rsidRPr="00562C42">
        <w:rPr>
          <w:rFonts w:ascii="Times New Roman" w:hAnsi="Times New Roman" w:cs="Times New Roman"/>
          <w:sz w:val="20"/>
          <w:szCs w:val="20"/>
        </w:rPr>
        <w:t xml:space="preserve"> therefore, it is not feasible to implement such a test along the production line, thus this technique is more practical for failure analysis. </w:t>
      </w:r>
    </w:p>
    <w:p w14:paraId="2B72098D" w14:textId="77777777" w:rsidR="00C546A1" w:rsidRDefault="00C546A1" w:rsidP="00562C42">
      <w:pPr>
        <w:keepNext/>
        <w:spacing w:after="0" w:line="240" w:lineRule="auto"/>
        <w:ind w:left="202"/>
        <w:mirrorIndents/>
        <w:jc w:val="both"/>
        <w:rPr>
          <w:rFonts w:ascii="Times New Roman" w:hAnsi="Times New Roman" w:cs="Times New Roman"/>
          <w:sz w:val="20"/>
          <w:szCs w:val="20"/>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tblGrid>
      <w:tr w:rsidR="00C546A1" w14:paraId="2B72098F" w14:textId="77777777" w:rsidTr="00A724C4">
        <w:tc>
          <w:tcPr>
            <w:tcW w:w="4958" w:type="dxa"/>
          </w:tcPr>
          <w:p w14:paraId="2B72098E" w14:textId="77777777" w:rsidR="00C546A1" w:rsidRDefault="00C546A1" w:rsidP="00C546A1">
            <w:pPr>
              <w:keepNext/>
              <w:mirrorIndent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B7209B9" wp14:editId="2B7209BA">
                  <wp:extent cx="2792186" cy="360994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5152" cy="3613781"/>
                          </a:xfrm>
                          <a:prstGeom prst="rect">
                            <a:avLst/>
                          </a:prstGeom>
                        </pic:spPr>
                      </pic:pic>
                    </a:graphicData>
                  </a:graphic>
                </wp:inline>
              </w:drawing>
            </w:r>
          </w:p>
        </w:tc>
      </w:tr>
      <w:tr w:rsidR="00C546A1" w14:paraId="2B720991" w14:textId="77777777" w:rsidTr="00A724C4">
        <w:tc>
          <w:tcPr>
            <w:tcW w:w="4958" w:type="dxa"/>
          </w:tcPr>
          <w:p w14:paraId="2B720990" w14:textId="77777777" w:rsidR="00C546A1" w:rsidRDefault="00C546A1" w:rsidP="001404D4">
            <w:pPr>
              <w:keepNext/>
              <w:mirrorIndents/>
              <w:jc w:val="both"/>
              <w:rPr>
                <w:rFonts w:ascii="Times New Roman" w:hAnsi="Times New Roman" w:cs="Times New Roman"/>
                <w:sz w:val="20"/>
                <w:szCs w:val="20"/>
              </w:rPr>
            </w:pPr>
            <w:r>
              <w:rPr>
                <w:rFonts w:ascii="Times New Roman" w:hAnsi="Times New Roman" w:cs="Times New Roman"/>
                <w:sz w:val="20"/>
                <w:szCs w:val="20"/>
              </w:rPr>
              <w:t>Figure 4</w:t>
            </w:r>
            <w:r w:rsidRPr="00C546A1">
              <w:rPr>
                <w:rFonts w:ascii="Times New Roman" w:hAnsi="Times New Roman" w:cs="Times New Roman"/>
                <w:sz w:val="20"/>
                <w:szCs w:val="20"/>
              </w:rPr>
              <w:t>:</w:t>
            </w:r>
            <w:r>
              <w:rPr>
                <w:rFonts w:ascii="Times New Roman" w:hAnsi="Times New Roman" w:cs="Times New Roman"/>
                <w:sz w:val="20"/>
                <w:szCs w:val="20"/>
              </w:rPr>
              <w:t xml:space="preserve"> </w:t>
            </w:r>
            <w:r w:rsidRPr="00C546A1">
              <w:rPr>
                <w:rFonts w:ascii="Times New Roman" w:hAnsi="Times New Roman" w:cs="Times New Roman"/>
                <w:sz w:val="20"/>
                <w:szCs w:val="20"/>
              </w:rPr>
              <w:t>Broadband image of Device B during forward bias hold at 0.1A.</w:t>
            </w:r>
            <w:r w:rsidR="001404D4">
              <w:rPr>
                <w:rFonts w:ascii="Times New Roman" w:hAnsi="Times New Roman" w:cs="Times New Roman"/>
                <w:sz w:val="20"/>
                <w:szCs w:val="20"/>
              </w:rPr>
              <w:t xml:space="preserve"> </w:t>
            </w:r>
            <w:r w:rsidR="001404D4" w:rsidRPr="00C546A1">
              <w:rPr>
                <w:rFonts w:ascii="Times New Roman" w:hAnsi="Times New Roman" w:cs="Times New Roman"/>
                <w:sz w:val="20"/>
                <w:szCs w:val="20"/>
              </w:rPr>
              <w:t xml:space="preserve">Device B </w:t>
            </w:r>
            <w:r w:rsidRPr="00C546A1">
              <w:rPr>
                <w:rFonts w:ascii="Times New Roman" w:hAnsi="Times New Roman" w:cs="Times New Roman"/>
                <w:sz w:val="20"/>
                <w:szCs w:val="20"/>
              </w:rPr>
              <w:t>The hyperspectral plot of surface points from anode edge outward.</w:t>
            </w:r>
          </w:p>
        </w:tc>
      </w:tr>
    </w:tbl>
    <w:p w14:paraId="2B720992" w14:textId="77777777" w:rsidR="00562C42" w:rsidRPr="00562C42" w:rsidRDefault="00562C42" w:rsidP="00C546A1">
      <w:pPr>
        <w:keepNext/>
        <w:spacing w:after="0" w:line="240" w:lineRule="auto"/>
        <w:mirrorIndents/>
        <w:jc w:val="both"/>
        <w:rPr>
          <w:rFonts w:ascii="Times New Roman" w:hAnsi="Times New Roman" w:cs="Times New Roman"/>
          <w:sz w:val="20"/>
          <w:szCs w:val="20"/>
        </w:rPr>
      </w:pPr>
    </w:p>
    <w:p w14:paraId="2B720993" w14:textId="77777777" w:rsidR="00562C42" w:rsidRDefault="00562C42" w:rsidP="00562C42">
      <w:pPr>
        <w:keepNext/>
        <w:spacing w:after="0" w:line="240" w:lineRule="auto"/>
        <w:ind w:left="202"/>
        <w:mirrorIndents/>
        <w:jc w:val="both"/>
        <w:rPr>
          <w:rFonts w:ascii="Times New Roman" w:hAnsi="Times New Roman" w:cs="Times New Roman"/>
          <w:sz w:val="20"/>
          <w:szCs w:val="20"/>
        </w:rPr>
      </w:pPr>
      <w:r w:rsidRPr="00562C42">
        <w:rPr>
          <w:rFonts w:ascii="Times New Roman" w:hAnsi="Times New Roman" w:cs="Times New Roman"/>
          <w:sz w:val="20"/>
          <w:szCs w:val="20"/>
        </w:rPr>
        <w:t xml:space="preserve">It is important to monitor the reverse current during the acquisition to make sure it does not drift higher which is an indicative of filament formation, or lower due to current loss to heat. The consistency in current in Figure 6.b assures that the bright points on device surface is a direct manifestation of the failure point dislocation leakage path. The monochromatic images are shown in Figure 6.c, along </w:t>
      </w:r>
      <w:r w:rsidR="00C546A1" w:rsidRPr="00562C42">
        <w:rPr>
          <w:rFonts w:ascii="Times New Roman" w:hAnsi="Times New Roman" w:cs="Times New Roman"/>
          <w:sz w:val="20"/>
          <w:szCs w:val="20"/>
        </w:rPr>
        <w:t>with the</w:t>
      </w:r>
      <w:r w:rsidRPr="00562C42">
        <w:rPr>
          <w:rFonts w:ascii="Times New Roman" w:hAnsi="Times New Roman" w:cs="Times New Roman"/>
          <w:sz w:val="20"/>
          <w:szCs w:val="20"/>
        </w:rPr>
        <w:t xml:space="preserve"> broadband image that captures all the wavelengths.</w:t>
      </w:r>
    </w:p>
    <w:p w14:paraId="2B720994" w14:textId="77777777" w:rsidR="00C546A1" w:rsidRDefault="00C546A1" w:rsidP="00C546A1">
      <w:pPr>
        <w:keepNext/>
        <w:spacing w:after="0" w:line="240" w:lineRule="auto"/>
        <w:ind w:left="202"/>
        <w:mirrorIndents/>
        <w:jc w:val="both"/>
        <w:rPr>
          <w:rFonts w:ascii="Times New Roman" w:hAnsi="Times New Roman" w:cs="Times New Roman"/>
          <w:sz w:val="20"/>
          <w:szCs w:val="20"/>
        </w:rPr>
      </w:pPr>
    </w:p>
    <w:p w14:paraId="2B720995" w14:textId="77777777" w:rsidR="00C546A1" w:rsidRPr="00C546A1" w:rsidRDefault="00C546A1" w:rsidP="00C546A1">
      <w:pPr>
        <w:keepNext/>
        <w:spacing w:after="0" w:line="240" w:lineRule="auto"/>
        <w:ind w:left="202"/>
        <w:mirrorIndents/>
        <w:jc w:val="both"/>
        <w:rPr>
          <w:rFonts w:ascii="Times New Roman" w:hAnsi="Times New Roman" w:cs="Times New Roman"/>
          <w:sz w:val="20"/>
          <w:szCs w:val="20"/>
        </w:rPr>
      </w:pPr>
      <w:r w:rsidRPr="00C546A1">
        <w:rPr>
          <w:rFonts w:ascii="Times New Roman" w:hAnsi="Times New Roman" w:cs="Times New Roman"/>
          <w:sz w:val="20"/>
          <w:szCs w:val="20"/>
        </w:rPr>
        <w:t>DISCUSSION</w:t>
      </w:r>
    </w:p>
    <w:p w14:paraId="2B720996" w14:textId="77777777" w:rsidR="00C546A1" w:rsidRPr="00C546A1" w:rsidRDefault="00C546A1" w:rsidP="00C546A1">
      <w:pPr>
        <w:keepNext/>
        <w:spacing w:after="0" w:line="240" w:lineRule="auto"/>
        <w:ind w:left="202"/>
        <w:mirrorIndents/>
        <w:jc w:val="both"/>
        <w:rPr>
          <w:rFonts w:ascii="Times New Roman" w:hAnsi="Times New Roman" w:cs="Times New Roman"/>
          <w:sz w:val="20"/>
          <w:szCs w:val="20"/>
        </w:rPr>
      </w:pPr>
    </w:p>
    <w:p w14:paraId="2B720997" w14:textId="77777777" w:rsidR="00C546A1" w:rsidRDefault="00C546A1" w:rsidP="00C546A1">
      <w:pPr>
        <w:keepNext/>
        <w:spacing w:after="0" w:line="240" w:lineRule="auto"/>
        <w:ind w:left="202"/>
        <w:mirrorIndents/>
        <w:jc w:val="both"/>
        <w:rPr>
          <w:rFonts w:ascii="Times New Roman" w:hAnsi="Times New Roman" w:cs="Times New Roman"/>
          <w:sz w:val="20"/>
          <w:szCs w:val="20"/>
        </w:rPr>
      </w:pPr>
      <w:r w:rsidRPr="00C546A1">
        <w:rPr>
          <w:rFonts w:ascii="Times New Roman" w:hAnsi="Times New Roman" w:cs="Times New Roman"/>
          <w:sz w:val="20"/>
          <w:szCs w:val="20"/>
        </w:rPr>
        <w:t xml:space="preserve">The standard spectra reveal a significant difference between that devices that are otherwise similar.  Despite the fact that the emission collection was taken under the same condition there is a noticeable difference in the number of counts which is believed to reflect the difference in the brightness. </w:t>
      </w:r>
      <w:r w:rsidRPr="00C546A1">
        <w:rPr>
          <w:rFonts w:ascii="Times New Roman" w:hAnsi="Times New Roman" w:cs="Times New Roman"/>
          <w:sz w:val="20"/>
          <w:szCs w:val="20"/>
        </w:rPr>
        <w:lastRenderedPageBreak/>
        <w:t>The emission around 379 nm is the expected wavelength from GaN which strongly relate</w:t>
      </w:r>
      <w:r w:rsidR="003529F0">
        <w:rPr>
          <w:rFonts w:ascii="Times New Roman" w:hAnsi="Times New Roman" w:cs="Times New Roman"/>
          <w:sz w:val="20"/>
          <w:szCs w:val="20"/>
        </w:rPr>
        <w:t>s to its bandgap emissions. T</w:t>
      </w:r>
      <w:r w:rsidRPr="00C546A1">
        <w:rPr>
          <w:rFonts w:ascii="Times New Roman" w:hAnsi="Times New Roman" w:cs="Times New Roman"/>
          <w:sz w:val="20"/>
          <w:szCs w:val="20"/>
        </w:rPr>
        <w:t xml:space="preserve">he signal is stronger in device A at that wavelength than it is in device B. Furthermore, device A does not exhibit other strong peaks while device B has conspicuous peaks ranges from   450-700nm. Those wavelengths represent energy levels near the band edge and deeper. The DC I-V initial sweep in Figure 3 does not hint to </w:t>
      </w:r>
      <w:r w:rsidR="003529F0">
        <w:rPr>
          <w:rFonts w:ascii="Times New Roman" w:hAnsi="Times New Roman" w:cs="Times New Roman"/>
          <w:sz w:val="20"/>
          <w:szCs w:val="20"/>
        </w:rPr>
        <w:t xml:space="preserve">the </w:t>
      </w:r>
      <w:r w:rsidRPr="00C546A1">
        <w:rPr>
          <w:rFonts w:ascii="Times New Roman" w:hAnsi="Times New Roman" w:cs="Times New Roman"/>
          <w:sz w:val="20"/>
          <w:szCs w:val="20"/>
        </w:rPr>
        <w:t xml:space="preserve">disparity in the device performance at high reverse bias. </w:t>
      </w:r>
    </w:p>
    <w:p w14:paraId="2B720998" w14:textId="77777777" w:rsidR="006160E1" w:rsidRDefault="006160E1" w:rsidP="00C546A1">
      <w:pPr>
        <w:keepNext/>
        <w:spacing w:after="0" w:line="240" w:lineRule="auto"/>
        <w:ind w:left="202"/>
        <w:mirrorIndents/>
        <w:jc w:val="both"/>
        <w:rPr>
          <w:rFonts w:ascii="Times New Roman" w:hAnsi="Times New Roman" w:cs="Times New Roman"/>
          <w:sz w:val="20"/>
          <w:szCs w:val="20"/>
        </w:rPr>
      </w:pPr>
    </w:p>
    <w:p w14:paraId="2B720999" w14:textId="77777777" w:rsidR="00D30DD8" w:rsidRDefault="00D30DD8" w:rsidP="00C546A1">
      <w:pPr>
        <w:keepNext/>
        <w:spacing w:after="0" w:line="240" w:lineRule="auto"/>
        <w:ind w:left="202"/>
        <w:mirrorIndents/>
        <w:jc w:val="both"/>
        <w:rPr>
          <w:rFonts w:ascii="Times New Roman" w:hAnsi="Times New Roman" w:cs="Times New Roman"/>
          <w:sz w:val="20"/>
          <w:szCs w:val="20"/>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tblGrid>
      <w:tr w:rsidR="00D30DD8" w14:paraId="2B72099B" w14:textId="77777777" w:rsidTr="002A1C26">
        <w:tc>
          <w:tcPr>
            <w:tcW w:w="4958" w:type="dxa"/>
          </w:tcPr>
          <w:p w14:paraId="2B72099A" w14:textId="77777777" w:rsidR="00D30DD8" w:rsidRDefault="008A1A04" w:rsidP="00C546A1">
            <w:pPr>
              <w:keepNext/>
              <w:mirrorIndents/>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B7209BB" wp14:editId="2B7209BC">
                  <wp:extent cx="3036693" cy="3611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6693" cy="3611880"/>
                          </a:xfrm>
                          <a:prstGeom prst="rect">
                            <a:avLst/>
                          </a:prstGeom>
                        </pic:spPr>
                      </pic:pic>
                    </a:graphicData>
                  </a:graphic>
                </wp:inline>
              </w:drawing>
            </w:r>
          </w:p>
        </w:tc>
      </w:tr>
      <w:tr w:rsidR="00D30DD8" w14:paraId="2B72099D" w14:textId="77777777" w:rsidTr="002A1C26">
        <w:tc>
          <w:tcPr>
            <w:tcW w:w="4958" w:type="dxa"/>
          </w:tcPr>
          <w:p w14:paraId="2B72099C" w14:textId="77777777" w:rsidR="00D30DD8" w:rsidRDefault="00D30DD8" w:rsidP="001404D4">
            <w:pPr>
              <w:keepNext/>
              <w:mirrorIndents/>
              <w:jc w:val="both"/>
              <w:rPr>
                <w:rFonts w:ascii="Times New Roman" w:hAnsi="Times New Roman" w:cs="Times New Roman"/>
                <w:sz w:val="20"/>
                <w:szCs w:val="20"/>
              </w:rPr>
            </w:pPr>
            <w:r w:rsidRPr="00D30DD8">
              <w:rPr>
                <w:rFonts w:ascii="Times New Roman" w:hAnsi="Times New Roman" w:cs="Times New Roman"/>
                <w:sz w:val="20"/>
                <w:szCs w:val="20"/>
              </w:rPr>
              <w:t xml:space="preserve">Figure </w:t>
            </w:r>
            <w:r w:rsidR="001404D4">
              <w:rPr>
                <w:rFonts w:ascii="Times New Roman" w:hAnsi="Times New Roman" w:cs="Times New Roman"/>
                <w:sz w:val="20"/>
                <w:szCs w:val="20"/>
              </w:rPr>
              <w:t>5</w:t>
            </w:r>
            <w:r w:rsidRPr="00D30DD8">
              <w:rPr>
                <w:rFonts w:ascii="Times New Roman" w:hAnsi="Times New Roman" w:cs="Times New Roman"/>
                <w:sz w:val="20"/>
                <w:szCs w:val="20"/>
              </w:rPr>
              <w:t>:</w:t>
            </w:r>
            <w:r>
              <w:rPr>
                <w:rFonts w:ascii="Times New Roman" w:hAnsi="Times New Roman" w:cs="Times New Roman"/>
                <w:sz w:val="20"/>
                <w:szCs w:val="20"/>
              </w:rPr>
              <w:t xml:space="preserve"> </w:t>
            </w:r>
            <w:r w:rsidRPr="00D30DD8">
              <w:rPr>
                <w:rFonts w:ascii="Times New Roman" w:hAnsi="Times New Roman" w:cs="Times New Roman"/>
                <w:sz w:val="20"/>
                <w:szCs w:val="20"/>
              </w:rPr>
              <w:t xml:space="preserve">Broadband image </w:t>
            </w:r>
            <w:r w:rsidR="002D5CAC" w:rsidRPr="00D30DD8">
              <w:rPr>
                <w:rFonts w:ascii="Times New Roman" w:hAnsi="Times New Roman" w:cs="Times New Roman"/>
                <w:sz w:val="20"/>
                <w:szCs w:val="20"/>
              </w:rPr>
              <w:t>of Device</w:t>
            </w:r>
            <w:r w:rsidRPr="00D30DD8">
              <w:rPr>
                <w:rFonts w:ascii="Times New Roman" w:hAnsi="Times New Roman" w:cs="Times New Roman"/>
                <w:sz w:val="20"/>
                <w:szCs w:val="20"/>
              </w:rPr>
              <w:t xml:space="preserve"> A during forward bias hold at 0.1A. </w:t>
            </w:r>
            <w:r w:rsidR="001404D4" w:rsidRPr="00D30DD8">
              <w:rPr>
                <w:rFonts w:ascii="Times New Roman" w:hAnsi="Times New Roman" w:cs="Times New Roman"/>
                <w:sz w:val="20"/>
                <w:szCs w:val="20"/>
              </w:rPr>
              <w:t xml:space="preserve">Device A </w:t>
            </w:r>
            <w:r w:rsidRPr="00D30DD8">
              <w:rPr>
                <w:rFonts w:ascii="Times New Roman" w:hAnsi="Times New Roman" w:cs="Times New Roman"/>
                <w:sz w:val="20"/>
                <w:szCs w:val="20"/>
              </w:rPr>
              <w:t>The hyperspectral plot of surface points from anode edge outward.</w:t>
            </w:r>
          </w:p>
        </w:tc>
      </w:tr>
    </w:tbl>
    <w:p w14:paraId="2B72099E" w14:textId="77777777" w:rsidR="00C546A1" w:rsidRDefault="00C546A1" w:rsidP="00C546A1">
      <w:pPr>
        <w:keepNext/>
        <w:spacing w:after="0" w:line="240" w:lineRule="auto"/>
        <w:ind w:left="202"/>
        <w:mirrorIndents/>
        <w:jc w:val="both"/>
        <w:rPr>
          <w:rFonts w:ascii="Times New Roman" w:hAnsi="Times New Roman" w:cs="Times New Roman"/>
          <w:sz w:val="20"/>
          <w:szCs w:val="20"/>
        </w:rPr>
      </w:pPr>
    </w:p>
    <w:p w14:paraId="2B72099F" w14:textId="638E783E" w:rsidR="00C546A1" w:rsidRPr="00D774D1" w:rsidRDefault="00C546A1" w:rsidP="00D774D1">
      <w:pPr>
        <w:keepNext/>
        <w:spacing w:after="0" w:line="240" w:lineRule="auto"/>
        <w:ind w:left="202"/>
        <w:mirrorIndents/>
        <w:jc w:val="both"/>
        <w:rPr>
          <w:rFonts w:ascii="Times New Roman" w:hAnsi="Times New Roman" w:cs="Times New Roman"/>
          <w:sz w:val="20"/>
          <w:szCs w:val="20"/>
        </w:rPr>
      </w:pPr>
      <w:r w:rsidRPr="00C546A1">
        <w:rPr>
          <w:rFonts w:ascii="Times New Roman" w:hAnsi="Times New Roman" w:cs="Times New Roman"/>
          <w:sz w:val="20"/>
          <w:szCs w:val="20"/>
        </w:rPr>
        <w:t xml:space="preserve">The hyperspectral imager electroluminescence results in Figures 4 shows that the emission spectrum has a distinct spatial distribution, with the UV emission strongly focused at the anode edge, then defect bands visible in the edge termination regions and outside of the device active area. In </w:t>
      </w:r>
      <w:r w:rsidR="0029182C" w:rsidRPr="00C546A1">
        <w:rPr>
          <w:rFonts w:ascii="Times New Roman" w:hAnsi="Times New Roman" w:cs="Times New Roman"/>
          <w:sz w:val="20"/>
          <w:szCs w:val="20"/>
        </w:rPr>
        <w:t>general,</w:t>
      </w:r>
      <w:r w:rsidRPr="00C546A1">
        <w:rPr>
          <w:rFonts w:ascii="Times New Roman" w:hAnsi="Times New Roman" w:cs="Times New Roman"/>
          <w:sz w:val="20"/>
          <w:szCs w:val="20"/>
        </w:rPr>
        <w:t xml:space="preserve"> it indicates a broad peak in the yellow spectral region centered around 500-600 nm, and a presence of a weaker peak in the red spectral region from 700-800 nm. The forward luminescence was useful however to identify wavelengths to focus on during the reverse bias acquisition. Since devices were tested under the same conditions therefore, number of counts can be compared. Device A exhibits significantly less counts except at 450 nm. That is near band-edge peak and is expected from most non-uniform bulk GaN substrates. However, the peaks that represent deeper bands are less prominent in device A.</w:t>
      </w:r>
      <w:r w:rsidR="00D774D1">
        <w:rPr>
          <w:rFonts w:ascii="Times New Roman" w:hAnsi="Times New Roman" w:cs="Times New Roman"/>
          <w:sz w:val="20"/>
          <w:szCs w:val="20"/>
        </w:rPr>
        <w:t xml:space="preserve"> </w:t>
      </w:r>
      <w:r w:rsidR="00D774D1" w:rsidRPr="00D774D1">
        <w:rPr>
          <w:rFonts w:ascii="Times New Roman" w:hAnsi="Times New Roman" w:cs="Times New Roman"/>
          <w:sz w:val="20"/>
          <w:szCs w:val="20"/>
        </w:rPr>
        <w:t xml:space="preserve">It is </w:t>
      </w:r>
      <w:r w:rsidR="00D774D1" w:rsidRPr="00D774D1">
        <w:rPr>
          <w:rFonts w:ascii="Times New Roman" w:hAnsi="Times New Roman" w:cs="Times New Roman"/>
          <w:sz w:val="20"/>
          <w:szCs w:val="20"/>
        </w:rPr>
        <w:lastRenderedPageBreak/>
        <w:t>well known that threading dislocations that can extend through thick layers of MOCVD GaN and make some undesirable path ways to reverse currents</w:t>
      </w:r>
      <w:r w:rsidR="000C33A5">
        <w:rPr>
          <w:rFonts w:ascii="Times New Roman" w:hAnsi="Times New Roman" w:cs="Times New Roman"/>
          <w:sz w:val="20"/>
          <w:szCs w:val="20"/>
        </w:rPr>
        <w:t xml:space="preserve"> </w:t>
      </w:r>
      <w:r w:rsidR="00BF4779">
        <w:rPr>
          <w:rFonts w:ascii="Times New Roman" w:hAnsi="Times New Roman" w:cs="Times New Roman"/>
          <w:sz w:val="20"/>
          <w:szCs w:val="20"/>
        </w:rPr>
        <w:fldChar w:fldCharType="begin" w:fldLock="1"/>
      </w:r>
      <w:r w:rsidR="00B330AD">
        <w:rPr>
          <w:rFonts w:ascii="Times New Roman" w:hAnsi="Times New Roman" w:cs="Times New Roman"/>
          <w:sz w:val="20"/>
          <w:szCs w:val="20"/>
        </w:rPr>
        <w:instrText>ADDIN CSL_CITATION {"citationItems":[{"id":"ITEM-1","itemData":{"DOI":"10.1063/1.1490147","ISSN":"00036951","abstract":"Excess reverse-bias leakage in GaN films grown by molecular beam epitaxy on GaN templates is correlated with the presence of pure screw dislocations. A scanning current-voltage microscope was used to map the spatial locations of leakage current on high quality GaN films under reverse bias. Two samples with similar total dislocation density (</w:instrText>
      </w:r>
      <w:r w:rsidR="00B330AD">
        <w:rPr>
          <w:rFonts w:ascii="Cambria Math" w:hAnsi="Cambria Math" w:cs="Cambria Math"/>
          <w:sz w:val="20"/>
          <w:szCs w:val="20"/>
        </w:rPr>
        <w:instrText>∼</w:instrText>
      </w:r>
      <w:r w:rsidR="00B330AD">
        <w:rPr>
          <w:rFonts w:ascii="Times New Roman" w:hAnsi="Times New Roman" w:cs="Times New Roman"/>
          <w:sz w:val="20"/>
          <w:szCs w:val="20"/>
        </w:rPr>
        <w:instrText>109cm-2) but with pure screw dislocation density differing by an order of magnitude were compared. We found that the density of reverse-bias leakage spots correlates well with pure screw dislocation density, not with mixed dislocation density. Thus, pure screw dislocations have a far more detrimental impact on gate leakage than edge or mixed dislocations. © 2002 American Institute of Physics.","author":[{"dropping-particle":"","family":"Hsu","given":"J. W.P.","non-dropping-particle":"","parse-names":false,"suffix":""},{"dropping-particle":"","family":"Manfra","given":"M. J.","non-dropping-particle":"","parse-names":false,"suffix":""},{"dropping-particle":"","family":"Molnar","given":"R. J.","non-dropping-particle":"","parse-names":false,"suffix":""},{"dropping-particle":"","family":"Heying","given":"B.","non-dropping-particle":"","parse-names":false,"suffix":""},{"dropping-particle":"","family":"Speck","given":"J. S.","non-dropping-particle":"","parse-names":false,"suffix":""}],"container-title":"Applied Physics Letters","id":"ITEM-1","issue":"1","issued":{"date-parts":[["2002"]]},"page":"79-81","title":"Direct imaging of reverse-bias leakage through pure screw dislocations in GaN films grown by molecular beam epitaxy on GaN templates","type":"article-journal","volume":"81"},"uris":["http://www.mendeley.com/documents/?uuid=e5a6f8be-a798-4e7d-8cac-59b62ea065a5"]}],"mendeley":{"formattedCitation":"[5]","plainTextFormattedCitation":"[5]","previouslyFormattedCitation":"[5]"},"properties":{"noteIndex":0},"schema":"https://github.com/citation-style-language/schema/raw/master/csl-citation.json"}</w:instrText>
      </w:r>
      <w:r w:rsidR="00BF4779">
        <w:rPr>
          <w:rFonts w:ascii="Times New Roman" w:hAnsi="Times New Roman" w:cs="Times New Roman"/>
          <w:sz w:val="20"/>
          <w:szCs w:val="20"/>
        </w:rPr>
        <w:fldChar w:fldCharType="separate"/>
      </w:r>
      <w:r w:rsidR="00BF4779" w:rsidRPr="00BF4779">
        <w:rPr>
          <w:rFonts w:ascii="Times New Roman" w:hAnsi="Times New Roman" w:cs="Times New Roman"/>
          <w:noProof/>
          <w:sz w:val="20"/>
          <w:szCs w:val="20"/>
        </w:rPr>
        <w:t>[5]</w:t>
      </w:r>
      <w:r w:rsidR="00BF4779">
        <w:rPr>
          <w:rFonts w:ascii="Times New Roman" w:hAnsi="Times New Roman" w:cs="Times New Roman"/>
          <w:sz w:val="20"/>
          <w:szCs w:val="20"/>
        </w:rPr>
        <w:fldChar w:fldCharType="end"/>
      </w:r>
      <w:r w:rsidR="000C33A5">
        <w:rPr>
          <w:rFonts w:ascii="Times New Roman" w:hAnsi="Times New Roman" w:cs="Times New Roman"/>
          <w:sz w:val="20"/>
          <w:szCs w:val="20"/>
        </w:rPr>
        <w:t>.</w:t>
      </w:r>
      <w:r w:rsidR="00D774D1" w:rsidRPr="00D774D1">
        <w:rPr>
          <w:rFonts w:ascii="Times New Roman" w:hAnsi="Times New Roman" w:cs="Times New Roman"/>
          <w:sz w:val="20"/>
          <w:szCs w:val="20"/>
        </w:rPr>
        <w:t xml:space="preserve"> Therefore, it is not a surprise that device A experiences much lower leakage current than device B at the very high reverse voltages. The monochromatic imaging technique described above is a powerful tool to help resolve where the leakage path falls, both spatially within the device as well as within the spectrum of traps known in the GaN system. 700 nm is arguably the brightest which related to deep traps at 1.7eV followed by 510 and 450 nm respectively. It is interesting to note that there is only one clear bright spot on the device surface and it is located near the termination edge</w:t>
      </w:r>
      <w:r w:rsidR="00D774D1">
        <w:rPr>
          <w:rFonts w:ascii="Times New Roman" w:hAnsi="Times New Roman" w:cs="Times New Roman"/>
          <w:sz w:val="20"/>
          <w:szCs w:val="20"/>
        </w:rPr>
        <w:t xml:space="preserve">. </w:t>
      </w:r>
      <w:r w:rsidR="00D774D1" w:rsidRPr="00D774D1">
        <w:rPr>
          <w:rFonts w:ascii="Times New Roman" w:hAnsi="Times New Roman" w:cs="Times New Roman"/>
          <w:sz w:val="20"/>
          <w:szCs w:val="20"/>
        </w:rPr>
        <w:t xml:space="preserve">This </w:t>
      </w:r>
      <w:r w:rsidR="00B330AD">
        <w:rPr>
          <w:rFonts w:ascii="Times New Roman" w:hAnsi="Times New Roman" w:cs="Times New Roman"/>
          <w:sz w:val="20"/>
          <w:szCs w:val="20"/>
        </w:rPr>
        <w:t>is</w:t>
      </w:r>
      <w:r w:rsidR="00D774D1" w:rsidRPr="00D774D1">
        <w:rPr>
          <w:rFonts w:ascii="Times New Roman" w:hAnsi="Times New Roman" w:cs="Times New Roman"/>
          <w:sz w:val="20"/>
          <w:szCs w:val="20"/>
        </w:rPr>
        <w:t xml:space="preserve"> clear</w:t>
      </w:r>
      <w:r w:rsidR="00B330AD">
        <w:rPr>
          <w:rFonts w:ascii="Times New Roman" w:hAnsi="Times New Roman" w:cs="Times New Roman"/>
          <w:sz w:val="20"/>
          <w:szCs w:val="20"/>
        </w:rPr>
        <w:t>ly</w:t>
      </w:r>
      <w:r w:rsidR="00D774D1" w:rsidRPr="00D774D1">
        <w:rPr>
          <w:rFonts w:ascii="Times New Roman" w:hAnsi="Times New Roman" w:cs="Times New Roman"/>
          <w:sz w:val="20"/>
          <w:szCs w:val="20"/>
        </w:rPr>
        <w:t xml:space="preserve"> </w:t>
      </w:r>
      <w:r w:rsidR="00B330AD">
        <w:rPr>
          <w:rFonts w:ascii="Times New Roman" w:hAnsi="Times New Roman" w:cs="Times New Roman"/>
          <w:sz w:val="20"/>
          <w:szCs w:val="20"/>
        </w:rPr>
        <w:t xml:space="preserve">a </w:t>
      </w:r>
      <w:r w:rsidR="00D774D1" w:rsidRPr="00D774D1">
        <w:rPr>
          <w:rFonts w:ascii="Times New Roman" w:hAnsi="Times New Roman" w:cs="Times New Roman"/>
          <w:sz w:val="20"/>
          <w:szCs w:val="20"/>
        </w:rPr>
        <w:t>failure point that could be further investigated by surface morphology evaluation, defe</w:t>
      </w:r>
      <w:r w:rsidR="00FD7287">
        <w:rPr>
          <w:rFonts w:ascii="Times New Roman" w:hAnsi="Times New Roman" w:cs="Times New Roman"/>
          <w:sz w:val="20"/>
          <w:szCs w:val="20"/>
        </w:rPr>
        <w:t>ct highlighting wet etches, or C</w:t>
      </w:r>
      <w:r w:rsidR="00D774D1" w:rsidRPr="00D774D1">
        <w:rPr>
          <w:rFonts w:ascii="Times New Roman" w:hAnsi="Times New Roman" w:cs="Times New Roman"/>
          <w:sz w:val="20"/>
          <w:szCs w:val="20"/>
        </w:rPr>
        <w:t>athodoluminescence to clarify whether it is more related to the termination fabrication process or threading dislocations inherent in the device structure</w:t>
      </w:r>
      <w:r w:rsidR="00D67923">
        <w:rPr>
          <w:rFonts w:ascii="Times New Roman" w:hAnsi="Times New Roman" w:cs="Times New Roman"/>
          <w:sz w:val="20"/>
          <w:szCs w:val="20"/>
        </w:rPr>
        <w:t xml:space="preserve"> </w:t>
      </w:r>
      <w:r w:rsidR="00B330AD">
        <w:rPr>
          <w:rFonts w:ascii="Times New Roman" w:hAnsi="Times New Roman" w:cs="Times New Roman"/>
          <w:sz w:val="20"/>
          <w:szCs w:val="20"/>
        </w:rPr>
        <w:fldChar w:fldCharType="begin" w:fldLock="1"/>
      </w:r>
      <w:r w:rsidR="00B330AD">
        <w:rPr>
          <w:rFonts w:ascii="Times New Roman" w:hAnsi="Times New Roman" w:cs="Times New Roman"/>
          <w:sz w:val="20"/>
          <w:szCs w:val="20"/>
        </w:rPr>
        <w:instrText>ADDIN CSL_CITATION {"citationItems":[{"id":"ITEM-1","itemData":{"DOI":"10.1063/1.5024704","ISSN":"00036951","abstract":"Dislocations that cause a reverse leakage current in vertical p-n diodes on a GaN free-standing substrate were investigated. Under a high reverse bias, dot-like leakage spots were observed using an emission microscope. Subsequent cathodoluminescence (CL) observations revealed that the leakage spots coincided with part of the CL dark spots, indicating that some types of dislocation cause reverse leakage. When etch pits were formed on the dislocations by KOH etching, three sizes of etch pits were obtained (large, medium, and small). Among these etch pits, only the medium pits coincided with leakage spots. Additionally, transmission electron microscopy observations revealed that pure screw dislocations are present under the leakage spots. The results revealed that 1c pure screw dislocations are related to the reverse leakage in vertical p-n diodes.","author":[{"dropping-particle":"","family":"Usami","given":"Shigeyoshi","non-dropping-particle":"","parse-names":false,"suffix":""},{"dropping-particle":"","family":"Ando","given":"Yuto","non-dropping-particle":"","parse-names":false,"suffix":""},{"dropping-particle":"","family":"Tanaka","given":"Atsushi","non-dropping-particle":"","parse-names":false,"suffix":""},{"dropping-particle":"","family":"Nagamatsu","given":"Kentaro","non-dropping-particle":"","parse-names":false,"suffix":""},{"dropping-particle":"","family":"Deki","given":"Manato","non-dropping-particle":"","parse-names":false,"suffix":""},{"dropping-particle":"","family":"Kushimoto","given":"Maki","non-dropping-particle":"","parse-names":false,"suffix":""},{"dropping-particle":"","family":"Nitta","given":"Shugo","non-dropping-particle":"","parse-names":false,"suffix":""},{"dropping-particle":"","family":"Honda","given":"Yoshio","non-dropping-particle":"","parse-names":false,"suffix":""},{"dropping-particle":"","family":"Amano","given":"Hiroshi","non-dropping-particle":"","parse-names":false,"suffix":""},{"dropping-particle":"","family":"Sugawara","given":"Yoshihiro","non-dropping-particle":"","parse-names":false,"suffix":""},{"dropping-particle":"","family":"Yao","given":"Yong Zhao","non-dropping-particle":"","parse-names":false,"suffix":""},{"dropping-particle":"","family":"Ishikawa","given":"Yukari","non-dropping-particle":"","parse-names":false,"suffix":""}],"container-title":"Applied Physics Letters","id":"ITEM-1","issue":"18","issued":{"date-parts":[["2018"]]},"title":"Correlation between dislocations and leakage current of p-n diodes on a free-standing GaN substrate","type":"article-journal","volume":"112"},"uris":["http://www.mendeley.com/documents/?uuid=08d4beb1-6de2-4d0d-a43d-74febabd78f9"]}],"mendeley":{"formattedCitation":"[6]","plainTextFormattedCitation":"[6]"},"properties":{"noteIndex":0},"schema":"https://github.com/citation-style-language/schema/raw/master/csl-citation.json"}</w:instrText>
      </w:r>
      <w:r w:rsidR="00B330AD">
        <w:rPr>
          <w:rFonts w:ascii="Times New Roman" w:hAnsi="Times New Roman" w:cs="Times New Roman"/>
          <w:sz w:val="20"/>
          <w:szCs w:val="20"/>
        </w:rPr>
        <w:fldChar w:fldCharType="separate"/>
      </w:r>
      <w:r w:rsidR="00B330AD" w:rsidRPr="00B330AD">
        <w:rPr>
          <w:rFonts w:ascii="Times New Roman" w:hAnsi="Times New Roman" w:cs="Times New Roman"/>
          <w:noProof/>
          <w:sz w:val="20"/>
          <w:szCs w:val="20"/>
        </w:rPr>
        <w:t>[6]</w:t>
      </w:r>
      <w:r w:rsidR="00B330AD">
        <w:rPr>
          <w:rFonts w:ascii="Times New Roman" w:hAnsi="Times New Roman" w:cs="Times New Roman"/>
          <w:sz w:val="20"/>
          <w:szCs w:val="20"/>
        </w:rPr>
        <w:fldChar w:fldCharType="end"/>
      </w:r>
      <w:r w:rsidR="00D67923">
        <w:rPr>
          <w:rFonts w:ascii="Times New Roman" w:hAnsi="Times New Roman" w:cs="Times New Roman"/>
          <w:sz w:val="20"/>
          <w:szCs w:val="20"/>
        </w:rPr>
        <w:t>.</w:t>
      </w:r>
      <w:r w:rsidR="00D774D1" w:rsidRPr="00D774D1">
        <w:rPr>
          <w:rFonts w:ascii="Times New Roman" w:hAnsi="Times New Roman" w:cs="Times New Roman"/>
          <w:sz w:val="20"/>
          <w:szCs w:val="20"/>
        </w:rPr>
        <w:t xml:space="preserve"> Further testing to avalanche breakdown is necessary to identify the evolution of this spot under high field stress, as well as search for luminescence signatures in Device A. </w:t>
      </w:r>
    </w:p>
    <w:p w14:paraId="2B7209A0" w14:textId="77777777" w:rsidR="0029182C" w:rsidRDefault="0029182C" w:rsidP="00C546A1">
      <w:pPr>
        <w:keepNext/>
        <w:spacing w:after="0" w:line="240" w:lineRule="auto"/>
        <w:ind w:left="202"/>
        <w:mirrorIndents/>
        <w:jc w:val="both"/>
        <w:rPr>
          <w:rFonts w:ascii="Times New Roman" w:hAnsi="Times New Roman" w:cs="Times New Roman"/>
          <w:sz w:val="20"/>
          <w:szCs w:val="20"/>
        </w:rPr>
      </w:pP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tblGrid>
      <w:tr w:rsidR="0029182C" w14:paraId="2B7209A2" w14:textId="77777777" w:rsidTr="00920180">
        <w:tc>
          <w:tcPr>
            <w:tcW w:w="4958" w:type="dxa"/>
          </w:tcPr>
          <w:p w14:paraId="2B7209A1" w14:textId="0191AA03" w:rsidR="0029182C" w:rsidRDefault="00797D48" w:rsidP="00797D48">
            <w:pPr>
              <w:keepNext/>
              <w:mirrorIndents/>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0288" behindDoc="0" locked="0" layoutInCell="1" allowOverlap="1" wp14:anchorId="2B7209BD" wp14:editId="2B7209BE">
                  <wp:simplePos x="0" y="0"/>
                  <wp:positionH relativeFrom="column">
                    <wp:posOffset>-65405</wp:posOffset>
                  </wp:positionH>
                  <wp:positionV relativeFrom="paragraph">
                    <wp:posOffset>0</wp:posOffset>
                  </wp:positionV>
                  <wp:extent cx="3108960" cy="3067031"/>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3067031"/>
                          </a:xfrm>
                          <a:prstGeom prst="rect">
                            <a:avLst/>
                          </a:prstGeom>
                        </pic:spPr>
                      </pic:pic>
                    </a:graphicData>
                  </a:graphic>
                  <wp14:sizeRelH relativeFrom="margin">
                    <wp14:pctWidth>0</wp14:pctWidth>
                  </wp14:sizeRelH>
                  <wp14:sizeRelV relativeFrom="margin">
                    <wp14:pctHeight>0</wp14:pctHeight>
                  </wp14:sizeRelV>
                </wp:anchor>
              </w:drawing>
            </w:r>
          </w:p>
        </w:tc>
      </w:tr>
      <w:tr w:rsidR="0029182C" w14:paraId="2B7209A4" w14:textId="77777777" w:rsidTr="00920180">
        <w:tc>
          <w:tcPr>
            <w:tcW w:w="4958" w:type="dxa"/>
          </w:tcPr>
          <w:p w14:paraId="2B7209A3" w14:textId="77777777" w:rsidR="0029182C" w:rsidRDefault="0029182C" w:rsidP="00C546A1">
            <w:pPr>
              <w:keepNext/>
              <w:mirrorIndents/>
              <w:jc w:val="both"/>
              <w:rPr>
                <w:rFonts w:ascii="Times New Roman" w:hAnsi="Times New Roman" w:cs="Times New Roman"/>
                <w:sz w:val="20"/>
                <w:szCs w:val="20"/>
              </w:rPr>
            </w:pPr>
            <w:r>
              <w:rPr>
                <w:rFonts w:ascii="Times New Roman" w:hAnsi="Times New Roman" w:cs="Times New Roman"/>
                <w:sz w:val="20"/>
                <w:szCs w:val="20"/>
              </w:rPr>
              <w:t>Figure 6</w:t>
            </w:r>
            <w:r w:rsidRPr="0029182C">
              <w:rPr>
                <w:rFonts w:ascii="Times New Roman" w:hAnsi="Times New Roman" w:cs="Times New Roman"/>
                <w:sz w:val="20"/>
                <w:szCs w:val="20"/>
              </w:rPr>
              <w:t>:</w:t>
            </w:r>
            <w:r>
              <w:rPr>
                <w:rFonts w:ascii="Times New Roman" w:hAnsi="Times New Roman" w:cs="Times New Roman"/>
                <w:sz w:val="20"/>
                <w:szCs w:val="20"/>
              </w:rPr>
              <w:t xml:space="preserve"> </w:t>
            </w:r>
            <w:r w:rsidRPr="0029182C">
              <w:rPr>
                <w:rFonts w:ascii="Times New Roman" w:hAnsi="Times New Roman" w:cs="Times New Roman"/>
                <w:sz w:val="20"/>
                <w:szCs w:val="20"/>
              </w:rPr>
              <w:t>(a) Reverse sweep for devices A &amp; B. (b) DC reverse bias hold during the EL acquisition. (c) EL images from device B at certain wavelengths while applying -900V.</w:t>
            </w:r>
          </w:p>
        </w:tc>
      </w:tr>
    </w:tbl>
    <w:p w14:paraId="2B7209A5" w14:textId="77777777" w:rsidR="0029182C" w:rsidRDefault="0029182C" w:rsidP="00C546A1">
      <w:pPr>
        <w:keepNext/>
        <w:spacing w:after="0" w:line="240" w:lineRule="auto"/>
        <w:ind w:left="202"/>
        <w:mirrorIndents/>
        <w:jc w:val="both"/>
        <w:rPr>
          <w:rFonts w:ascii="Times New Roman" w:hAnsi="Times New Roman" w:cs="Times New Roman"/>
          <w:sz w:val="20"/>
          <w:szCs w:val="20"/>
        </w:rPr>
      </w:pPr>
    </w:p>
    <w:p w14:paraId="2B7209A6" w14:textId="77777777" w:rsidR="0029182C" w:rsidRPr="0029182C" w:rsidRDefault="0029182C" w:rsidP="0029182C">
      <w:pPr>
        <w:keepNext/>
        <w:spacing w:after="0" w:line="240" w:lineRule="auto"/>
        <w:ind w:left="202"/>
        <w:mirrorIndents/>
        <w:jc w:val="both"/>
        <w:rPr>
          <w:rFonts w:ascii="Times New Roman" w:hAnsi="Times New Roman" w:cs="Times New Roman"/>
          <w:sz w:val="20"/>
          <w:szCs w:val="20"/>
        </w:rPr>
      </w:pPr>
      <w:r w:rsidRPr="0029182C">
        <w:rPr>
          <w:rFonts w:ascii="Times New Roman" w:hAnsi="Times New Roman" w:cs="Times New Roman"/>
          <w:sz w:val="20"/>
          <w:szCs w:val="20"/>
        </w:rPr>
        <w:t>CONCLUSION</w:t>
      </w:r>
    </w:p>
    <w:p w14:paraId="2B7209A7" w14:textId="77777777" w:rsidR="0029182C" w:rsidRPr="0029182C" w:rsidRDefault="0029182C" w:rsidP="0029182C">
      <w:pPr>
        <w:keepNext/>
        <w:spacing w:after="0" w:line="240" w:lineRule="auto"/>
        <w:ind w:left="202"/>
        <w:mirrorIndents/>
        <w:jc w:val="both"/>
        <w:rPr>
          <w:rFonts w:ascii="Times New Roman" w:hAnsi="Times New Roman" w:cs="Times New Roman"/>
          <w:sz w:val="20"/>
          <w:szCs w:val="20"/>
        </w:rPr>
      </w:pPr>
    </w:p>
    <w:p w14:paraId="2B7209A8" w14:textId="77777777" w:rsidR="0029182C" w:rsidRDefault="0029182C" w:rsidP="0029182C">
      <w:pPr>
        <w:keepNext/>
        <w:spacing w:after="0" w:line="240" w:lineRule="auto"/>
        <w:ind w:left="202"/>
        <w:mirrorIndents/>
        <w:jc w:val="both"/>
        <w:rPr>
          <w:rFonts w:ascii="Times New Roman" w:hAnsi="Times New Roman" w:cs="Times New Roman"/>
          <w:sz w:val="20"/>
          <w:szCs w:val="20"/>
        </w:rPr>
      </w:pPr>
      <w:r w:rsidRPr="0029182C">
        <w:rPr>
          <w:rFonts w:ascii="Times New Roman" w:hAnsi="Times New Roman" w:cs="Times New Roman"/>
          <w:sz w:val="20"/>
          <w:szCs w:val="20"/>
        </w:rPr>
        <w:t xml:space="preserve">Despite the fact that both devices </w:t>
      </w:r>
      <w:r w:rsidR="00A724C4">
        <w:rPr>
          <w:rFonts w:ascii="Times New Roman" w:hAnsi="Times New Roman" w:cs="Times New Roman"/>
          <w:sz w:val="20"/>
          <w:szCs w:val="20"/>
        </w:rPr>
        <w:t>were</w:t>
      </w:r>
      <w:r w:rsidRPr="0029182C">
        <w:rPr>
          <w:rFonts w:ascii="Times New Roman" w:hAnsi="Times New Roman" w:cs="Times New Roman"/>
          <w:sz w:val="20"/>
          <w:szCs w:val="20"/>
        </w:rPr>
        <w:t xml:space="preserve"> fabricated on non-uniform substrate</w:t>
      </w:r>
      <w:r w:rsidR="00A724C4">
        <w:rPr>
          <w:rFonts w:ascii="Times New Roman" w:hAnsi="Times New Roman" w:cs="Times New Roman"/>
          <w:sz w:val="20"/>
          <w:szCs w:val="20"/>
        </w:rPr>
        <w:t>s</w:t>
      </w:r>
      <w:r w:rsidRPr="0029182C">
        <w:rPr>
          <w:rFonts w:ascii="Times New Roman" w:hAnsi="Times New Roman" w:cs="Times New Roman"/>
          <w:sz w:val="20"/>
          <w:szCs w:val="20"/>
        </w:rPr>
        <w:t xml:space="preserve">, there is still disparity in their performance. This variation in the reverse leakage between the two substrates is </w:t>
      </w:r>
      <w:r w:rsidR="00A724C4">
        <w:rPr>
          <w:rFonts w:ascii="Times New Roman" w:hAnsi="Times New Roman" w:cs="Times New Roman"/>
          <w:sz w:val="20"/>
          <w:szCs w:val="20"/>
        </w:rPr>
        <w:t>more likely</w:t>
      </w:r>
      <w:r w:rsidR="00A724C4" w:rsidRPr="0029182C">
        <w:rPr>
          <w:rFonts w:ascii="Times New Roman" w:hAnsi="Times New Roman" w:cs="Times New Roman"/>
          <w:sz w:val="20"/>
          <w:szCs w:val="20"/>
        </w:rPr>
        <w:t xml:space="preserve"> </w:t>
      </w:r>
      <w:r w:rsidRPr="0029182C">
        <w:rPr>
          <w:rFonts w:ascii="Times New Roman" w:hAnsi="Times New Roman" w:cs="Times New Roman"/>
          <w:sz w:val="20"/>
          <w:szCs w:val="20"/>
        </w:rPr>
        <w:t xml:space="preserve">related to </w:t>
      </w:r>
      <w:r w:rsidR="007476AC">
        <w:rPr>
          <w:rFonts w:ascii="Times New Roman" w:hAnsi="Times New Roman" w:cs="Times New Roman"/>
          <w:sz w:val="20"/>
          <w:szCs w:val="20"/>
        </w:rPr>
        <w:t xml:space="preserve">the </w:t>
      </w:r>
      <w:r w:rsidR="007476AC" w:rsidRPr="0029182C">
        <w:rPr>
          <w:rFonts w:ascii="Times New Roman" w:hAnsi="Times New Roman" w:cs="Times New Roman"/>
          <w:sz w:val="20"/>
          <w:szCs w:val="20"/>
        </w:rPr>
        <w:t xml:space="preserve">fabrication process </w:t>
      </w:r>
      <w:r w:rsidRPr="0029182C">
        <w:rPr>
          <w:rFonts w:ascii="Times New Roman" w:hAnsi="Times New Roman" w:cs="Times New Roman"/>
          <w:sz w:val="20"/>
          <w:szCs w:val="20"/>
        </w:rPr>
        <w:t xml:space="preserve">statistical variation or improper termination design </w:t>
      </w:r>
      <w:r w:rsidRPr="0029182C">
        <w:rPr>
          <w:rFonts w:ascii="Times New Roman" w:hAnsi="Times New Roman" w:cs="Times New Roman"/>
          <w:sz w:val="20"/>
          <w:szCs w:val="20"/>
        </w:rPr>
        <w:lastRenderedPageBreak/>
        <w:t xml:space="preserve">for the given properties of the drift layer. </w:t>
      </w:r>
      <w:r w:rsidR="00A724C4">
        <w:rPr>
          <w:rFonts w:ascii="Times New Roman" w:hAnsi="Times New Roman" w:cs="Times New Roman"/>
          <w:sz w:val="20"/>
          <w:szCs w:val="20"/>
        </w:rPr>
        <w:t xml:space="preserve">This disparity can also stem from the fact that non-uniform substrates have various </w:t>
      </w:r>
      <w:r w:rsidR="00F83D50">
        <w:rPr>
          <w:rFonts w:ascii="Times New Roman" w:hAnsi="Times New Roman" w:cs="Times New Roman"/>
          <w:sz w:val="20"/>
          <w:szCs w:val="20"/>
        </w:rPr>
        <w:t>quality levels</w:t>
      </w:r>
      <w:r w:rsidR="00A724C4">
        <w:rPr>
          <w:rFonts w:ascii="Times New Roman" w:hAnsi="Times New Roman" w:cs="Times New Roman"/>
          <w:sz w:val="20"/>
          <w:szCs w:val="20"/>
        </w:rPr>
        <w:t xml:space="preserve">. We demonstrated that </w:t>
      </w:r>
      <w:r w:rsidR="00F83D50">
        <w:rPr>
          <w:rFonts w:ascii="Times New Roman" w:hAnsi="Times New Roman" w:cs="Times New Roman"/>
          <w:sz w:val="20"/>
          <w:szCs w:val="20"/>
        </w:rPr>
        <w:t xml:space="preserve">the </w:t>
      </w:r>
      <w:r w:rsidR="007476AC">
        <w:rPr>
          <w:rFonts w:ascii="Times New Roman" w:hAnsi="Times New Roman" w:cs="Times New Roman"/>
          <w:sz w:val="20"/>
          <w:szCs w:val="20"/>
        </w:rPr>
        <w:t>standard</w:t>
      </w:r>
      <w:r w:rsidR="00A724C4">
        <w:rPr>
          <w:rFonts w:ascii="Times New Roman" w:hAnsi="Times New Roman" w:cs="Times New Roman"/>
          <w:sz w:val="20"/>
          <w:szCs w:val="20"/>
        </w:rPr>
        <w:t xml:space="preserve"> DV I-V sweep does not predict </w:t>
      </w:r>
      <w:r w:rsidR="007476AC">
        <w:rPr>
          <w:rFonts w:ascii="Times New Roman" w:hAnsi="Times New Roman" w:cs="Times New Roman"/>
          <w:sz w:val="20"/>
          <w:szCs w:val="20"/>
        </w:rPr>
        <w:t>deficienc</w:t>
      </w:r>
      <w:r w:rsidR="00F83D50">
        <w:rPr>
          <w:rFonts w:ascii="Times New Roman" w:hAnsi="Times New Roman" w:cs="Times New Roman"/>
          <w:sz w:val="20"/>
          <w:szCs w:val="20"/>
        </w:rPr>
        <w:t>ies</w:t>
      </w:r>
      <w:r w:rsidR="007476AC">
        <w:rPr>
          <w:rFonts w:ascii="Times New Roman" w:hAnsi="Times New Roman" w:cs="Times New Roman"/>
          <w:sz w:val="20"/>
          <w:szCs w:val="20"/>
        </w:rPr>
        <w:t xml:space="preserve"> that</w:t>
      </w:r>
      <w:r w:rsidR="00F83D50">
        <w:rPr>
          <w:rFonts w:ascii="Times New Roman" w:hAnsi="Times New Roman" w:cs="Times New Roman"/>
          <w:sz w:val="20"/>
          <w:szCs w:val="20"/>
        </w:rPr>
        <w:t xml:space="preserve"> lead</w:t>
      </w:r>
      <w:r w:rsidR="007476AC">
        <w:rPr>
          <w:rFonts w:ascii="Times New Roman" w:hAnsi="Times New Roman" w:cs="Times New Roman"/>
          <w:sz w:val="20"/>
          <w:szCs w:val="20"/>
        </w:rPr>
        <w:t xml:space="preserve"> to high leakage current at high reverse biases. Standard spectrometer was utilized to identify potential performance issue</w:t>
      </w:r>
      <w:r w:rsidR="00F83D50">
        <w:rPr>
          <w:rFonts w:ascii="Times New Roman" w:hAnsi="Times New Roman" w:cs="Times New Roman"/>
          <w:sz w:val="20"/>
          <w:szCs w:val="20"/>
        </w:rPr>
        <w:t>s</w:t>
      </w:r>
      <w:r w:rsidR="007476AC">
        <w:rPr>
          <w:rFonts w:ascii="Times New Roman" w:hAnsi="Times New Roman" w:cs="Times New Roman"/>
          <w:sz w:val="20"/>
          <w:szCs w:val="20"/>
        </w:rPr>
        <w:t xml:space="preserve">. Further investigation with the hyperspectral imager </w:t>
      </w:r>
      <w:r w:rsidR="00F83D50">
        <w:rPr>
          <w:rFonts w:ascii="Times New Roman" w:hAnsi="Times New Roman" w:cs="Times New Roman"/>
          <w:sz w:val="20"/>
          <w:szCs w:val="20"/>
        </w:rPr>
        <w:t>identified</w:t>
      </w:r>
      <w:r w:rsidR="007476AC">
        <w:rPr>
          <w:rFonts w:ascii="Times New Roman" w:hAnsi="Times New Roman" w:cs="Times New Roman"/>
          <w:sz w:val="20"/>
          <w:szCs w:val="20"/>
        </w:rPr>
        <w:t xml:space="preserve"> the wavelengths to monochromatically scan during the high reverse bias to </w:t>
      </w:r>
      <w:r w:rsidR="00F83D50">
        <w:rPr>
          <w:rFonts w:ascii="Times New Roman" w:hAnsi="Times New Roman" w:cs="Times New Roman"/>
          <w:sz w:val="20"/>
          <w:szCs w:val="20"/>
        </w:rPr>
        <w:t xml:space="preserve">spatially define </w:t>
      </w:r>
      <w:r w:rsidR="007476AC">
        <w:rPr>
          <w:rFonts w:ascii="Times New Roman" w:hAnsi="Times New Roman" w:cs="Times New Roman"/>
          <w:sz w:val="20"/>
          <w:szCs w:val="20"/>
        </w:rPr>
        <w:t xml:space="preserve">the leakage spot and </w:t>
      </w:r>
      <w:r w:rsidR="00F83D50">
        <w:rPr>
          <w:rFonts w:ascii="Times New Roman" w:hAnsi="Times New Roman" w:cs="Times New Roman"/>
          <w:sz w:val="20"/>
          <w:szCs w:val="20"/>
        </w:rPr>
        <w:t xml:space="preserve">hence the </w:t>
      </w:r>
      <w:r w:rsidR="007476AC">
        <w:rPr>
          <w:rFonts w:ascii="Times New Roman" w:hAnsi="Times New Roman" w:cs="Times New Roman"/>
          <w:sz w:val="20"/>
          <w:szCs w:val="20"/>
        </w:rPr>
        <w:t>failure point</w:t>
      </w:r>
      <w:r w:rsidRPr="0029182C">
        <w:rPr>
          <w:rFonts w:ascii="Times New Roman" w:hAnsi="Times New Roman" w:cs="Times New Roman"/>
          <w:sz w:val="20"/>
          <w:szCs w:val="20"/>
        </w:rPr>
        <w:t>. Hyperspectral EL is a powerful characterization technique that can be utilized to identify failure mechanisms, and link them to fabrication processes down faults that impact the device performance. This technology can be automated which will allow researcher to statistically tie electrical stressing to process statistical vitiation.</w:t>
      </w:r>
    </w:p>
    <w:p w14:paraId="2B7209A9" w14:textId="77777777" w:rsidR="00D774D1" w:rsidRDefault="00D774D1" w:rsidP="0029182C">
      <w:pPr>
        <w:keepNext/>
        <w:spacing w:after="0" w:line="240" w:lineRule="auto"/>
        <w:ind w:left="202"/>
        <w:mirrorIndents/>
        <w:jc w:val="both"/>
        <w:rPr>
          <w:rFonts w:ascii="Times New Roman" w:hAnsi="Times New Roman" w:cs="Times New Roman"/>
          <w:sz w:val="20"/>
          <w:szCs w:val="20"/>
        </w:rPr>
      </w:pPr>
    </w:p>
    <w:p w14:paraId="2B7209AA" w14:textId="77777777" w:rsidR="00D774D1" w:rsidRDefault="00D774D1" w:rsidP="0029182C">
      <w:pPr>
        <w:keepNext/>
        <w:spacing w:after="0" w:line="240" w:lineRule="auto"/>
        <w:ind w:left="202"/>
        <w:mirrorIndents/>
        <w:jc w:val="both"/>
        <w:rPr>
          <w:rFonts w:ascii="Times New Roman" w:hAnsi="Times New Roman" w:cs="Times New Roman"/>
          <w:sz w:val="20"/>
          <w:szCs w:val="20"/>
        </w:rPr>
      </w:pPr>
      <w:r w:rsidRPr="00D774D1">
        <w:rPr>
          <w:rFonts w:ascii="Times New Roman" w:hAnsi="Times New Roman" w:cs="Times New Roman"/>
          <w:sz w:val="20"/>
          <w:szCs w:val="20"/>
        </w:rPr>
        <w:t>REFRENCES</w:t>
      </w:r>
    </w:p>
    <w:p w14:paraId="2B7209AB" w14:textId="77777777" w:rsidR="00D774D1" w:rsidRDefault="00D774D1" w:rsidP="0029182C">
      <w:pPr>
        <w:keepNext/>
        <w:spacing w:after="0" w:line="240" w:lineRule="auto"/>
        <w:ind w:left="202"/>
        <w:mirrorIndents/>
        <w:jc w:val="both"/>
        <w:rPr>
          <w:rFonts w:ascii="Times New Roman" w:hAnsi="Times New Roman" w:cs="Times New Roman"/>
          <w:sz w:val="20"/>
          <w:szCs w:val="20"/>
        </w:rPr>
      </w:pPr>
    </w:p>
    <w:p w14:paraId="2B7209AC" w14:textId="77777777" w:rsidR="00B330AD" w:rsidRPr="00B330AD" w:rsidRDefault="00D774D1" w:rsidP="00B330AD">
      <w:pPr>
        <w:widowControl w:val="0"/>
        <w:autoSpaceDE w:val="0"/>
        <w:autoSpaceDN w:val="0"/>
        <w:adjustRightInd w:val="0"/>
        <w:spacing w:after="0" w:line="240" w:lineRule="auto"/>
        <w:ind w:left="640" w:hanging="640"/>
        <w:rPr>
          <w:rFonts w:ascii="Times New Roman" w:hAnsi="Times New Roman" w:cs="Times New Roman"/>
          <w:noProof/>
          <w:sz w:val="20"/>
          <w:szCs w:val="24"/>
        </w:rPr>
      </w:pP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00B330AD" w:rsidRPr="00B330AD">
        <w:rPr>
          <w:rFonts w:ascii="Times New Roman" w:hAnsi="Times New Roman" w:cs="Times New Roman"/>
          <w:noProof/>
          <w:sz w:val="20"/>
          <w:szCs w:val="24"/>
        </w:rPr>
        <w:t>[1]</w:t>
      </w:r>
      <w:r w:rsidR="00B330AD" w:rsidRPr="00B330AD">
        <w:rPr>
          <w:rFonts w:ascii="Times New Roman" w:hAnsi="Times New Roman" w:cs="Times New Roman"/>
          <w:noProof/>
          <w:sz w:val="20"/>
          <w:szCs w:val="24"/>
        </w:rPr>
        <w:tab/>
        <w:t xml:space="preserve">A. J. Fischer </w:t>
      </w:r>
      <w:r w:rsidR="00B330AD" w:rsidRPr="00B330AD">
        <w:rPr>
          <w:rFonts w:ascii="Times New Roman" w:hAnsi="Times New Roman" w:cs="Times New Roman"/>
          <w:i/>
          <w:iCs/>
          <w:noProof/>
          <w:sz w:val="20"/>
          <w:szCs w:val="24"/>
        </w:rPr>
        <w:t>et al.</w:t>
      </w:r>
      <w:r w:rsidR="00B330AD" w:rsidRPr="00B330AD">
        <w:rPr>
          <w:rFonts w:ascii="Times New Roman" w:hAnsi="Times New Roman" w:cs="Times New Roman"/>
          <w:noProof/>
          <w:sz w:val="20"/>
          <w:szCs w:val="24"/>
        </w:rPr>
        <w:t xml:space="preserve">, “High voltage and high current density vertical GaN power diodes,” </w:t>
      </w:r>
      <w:r w:rsidR="00B330AD" w:rsidRPr="00B330AD">
        <w:rPr>
          <w:rFonts w:ascii="Times New Roman" w:hAnsi="Times New Roman" w:cs="Times New Roman"/>
          <w:i/>
          <w:iCs/>
          <w:noProof/>
          <w:sz w:val="20"/>
          <w:szCs w:val="24"/>
        </w:rPr>
        <w:t>Electron. Lett.</w:t>
      </w:r>
      <w:r w:rsidR="00B330AD" w:rsidRPr="00B330AD">
        <w:rPr>
          <w:rFonts w:ascii="Times New Roman" w:hAnsi="Times New Roman" w:cs="Times New Roman"/>
          <w:noProof/>
          <w:sz w:val="20"/>
          <w:szCs w:val="24"/>
        </w:rPr>
        <w:t>, vol. 52, no. 13, pp. 1170–1171, 2016.</w:t>
      </w:r>
    </w:p>
    <w:p w14:paraId="2B7209AD" w14:textId="77777777" w:rsidR="00B330AD" w:rsidRPr="00B330AD" w:rsidRDefault="00B330AD" w:rsidP="00B330AD">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B330AD">
        <w:rPr>
          <w:rFonts w:ascii="Times New Roman" w:hAnsi="Times New Roman" w:cs="Times New Roman"/>
          <w:noProof/>
          <w:sz w:val="20"/>
          <w:szCs w:val="24"/>
        </w:rPr>
        <w:t>[2]</w:t>
      </w:r>
      <w:r w:rsidRPr="00B330AD">
        <w:rPr>
          <w:rFonts w:ascii="Times New Roman" w:hAnsi="Times New Roman" w:cs="Times New Roman"/>
          <w:noProof/>
          <w:sz w:val="20"/>
          <w:szCs w:val="24"/>
        </w:rPr>
        <w:tab/>
        <w:t xml:space="preserve">T. J. Anderson </w:t>
      </w:r>
      <w:r w:rsidRPr="00B330AD">
        <w:rPr>
          <w:rFonts w:ascii="Times New Roman" w:hAnsi="Times New Roman" w:cs="Times New Roman"/>
          <w:i/>
          <w:iCs/>
          <w:noProof/>
          <w:sz w:val="20"/>
          <w:szCs w:val="24"/>
        </w:rPr>
        <w:t>et al.</w:t>
      </w:r>
      <w:r w:rsidRPr="00B330AD">
        <w:rPr>
          <w:rFonts w:ascii="Times New Roman" w:hAnsi="Times New Roman" w:cs="Times New Roman"/>
          <w:noProof/>
          <w:sz w:val="20"/>
          <w:szCs w:val="24"/>
        </w:rPr>
        <w:t xml:space="preserve">, “Hyperspectral Electroluminescence Characterization of OFF-State Device Characteristics in Proton Irradiated High Voltage AlGaN/GaN HEMTs,” </w:t>
      </w:r>
      <w:r w:rsidRPr="00B330AD">
        <w:rPr>
          <w:rFonts w:ascii="Times New Roman" w:hAnsi="Times New Roman" w:cs="Times New Roman"/>
          <w:i/>
          <w:iCs/>
          <w:noProof/>
          <w:sz w:val="20"/>
          <w:szCs w:val="24"/>
        </w:rPr>
        <w:t>ECS J. Solid State Sci. Technol.</w:t>
      </w:r>
      <w:r w:rsidRPr="00B330AD">
        <w:rPr>
          <w:rFonts w:ascii="Times New Roman" w:hAnsi="Times New Roman" w:cs="Times New Roman"/>
          <w:noProof/>
          <w:sz w:val="20"/>
          <w:szCs w:val="24"/>
        </w:rPr>
        <w:t>, vol. 5, no. 12, pp. Q289–Q293, 2016.</w:t>
      </w:r>
    </w:p>
    <w:p w14:paraId="2B7209AE" w14:textId="77777777" w:rsidR="00B330AD" w:rsidRPr="00B330AD" w:rsidRDefault="00B330AD" w:rsidP="00B330AD">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B330AD">
        <w:rPr>
          <w:rFonts w:ascii="Times New Roman" w:hAnsi="Times New Roman" w:cs="Times New Roman"/>
          <w:noProof/>
          <w:sz w:val="20"/>
          <w:szCs w:val="24"/>
        </w:rPr>
        <w:t>[3]</w:t>
      </w:r>
      <w:r w:rsidRPr="00B330AD">
        <w:rPr>
          <w:rFonts w:ascii="Times New Roman" w:hAnsi="Times New Roman" w:cs="Times New Roman"/>
          <w:noProof/>
          <w:sz w:val="20"/>
          <w:szCs w:val="24"/>
        </w:rPr>
        <w:tab/>
        <w:t xml:space="preserve">J. C. Gallagher </w:t>
      </w:r>
      <w:r w:rsidRPr="00B330AD">
        <w:rPr>
          <w:rFonts w:ascii="Times New Roman" w:hAnsi="Times New Roman" w:cs="Times New Roman"/>
          <w:i/>
          <w:iCs/>
          <w:noProof/>
          <w:sz w:val="20"/>
          <w:szCs w:val="24"/>
        </w:rPr>
        <w:t>et al.</w:t>
      </w:r>
      <w:r w:rsidRPr="00B330AD">
        <w:rPr>
          <w:rFonts w:ascii="Times New Roman" w:hAnsi="Times New Roman" w:cs="Times New Roman"/>
          <w:noProof/>
          <w:sz w:val="20"/>
          <w:szCs w:val="24"/>
        </w:rPr>
        <w:t xml:space="preserve">, “Long range, non-destructive characterization of GaN substrates for power devices,” </w:t>
      </w:r>
      <w:r w:rsidRPr="00B330AD">
        <w:rPr>
          <w:rFonts w:ascii="Times New Roman" w:hAnsi="Times New Roman" w:cs="Times New Roman"/>
          <w:i/>
          <w:iCs/>
          <w:noProof/>
          <w:sz w:val="20"/>
          <w:szCs w:val="24"/>
        </w:rPr>
        <w:t>J. Cryst. Growth</w:t>
      </w:r>
      <w:r w:rsidRPr="00B330AD">
        <w:rPr>
          <w:rFonts w:ascii="Times New Roman" w:hAnsi="Times New Roman" w:cs="Times New Roman"/>
          <w:noProof/>
          <w:sz w:val="20"/>
          <w:szCs w:val="24"/>
        </w:rPr>
        <w:t>, vol. 506, no. October 2018, pp. 178–184, 2019.</w:t>
      </w:r>
    </w:p>
    <w:p w14:paraId="2B7209AF" w14:textId="77777777" w:rsidR="00B330AD" w:rsidRPr="00B330AD" w:rsidRDefault="00B330AD" w:rsidP="00B330AD">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B330AD">
        <w:rPr>
          <w:rFonts w:ascii="Times New Roman" w:hAnsi="Times New Roman" w:cs="Times New Roman"/>
          <w:noProof/>
          <w:sz w:val="20"/>
          <w:szCs w:val="24"/>
        </w:rPr>
        <w:t>[4]</w:t>
      </w:r>
      <w:r w:rsidRPr="00B330AD">
        <w:rPr>
          <w:rFonts w:ascii="Times New Roman" w:hAnsi="Times New Roman" w:cs="Times New Roman"/>
          <w:noProof/>
          <w:sz w:val="20"/>
          <w:szCs w:val="24"/>
        </w:rPr>
        <w:tab/>
        <w:t xml:space="preserve">I. C. Kizilyalli, A. P. Edwards, H. Nie, D. Disney, and D. Bour, “High voltage vertical GaN p-n diodes with avalanche capability,” </w:t>
      </w:r>
      <w:r w:rsidRPr="00B330AD">
        <w:rPr>
          <w:rFonts w:ascii="Times New Roman" w:hAnsi="Times New Roman" w:cs="Times New Roman"/>
          <w:i/>
          <w:iCs/>
          <w:noProof/>
          <w:sz w:val="20"/>
          <w:szCs w:val="24"/>
        </w:rPr>
        <w:t>IEEE Trans. Electron Devices</w:t>
      </w:r>
      <w:r w:rsidRPr="00B330AD">
        <w:rPr>
          <w:rFonts w:ascii="Times New Roman" w:hAnsi="Times New Roman" w:cs="Times New Roman"/>
          <w:noProof/>
          <w:sz w:val="20"/>
          <w:szCs w:val="24"/>
        </w:rPr>
        <w:t>, vol. 60, no. 10, pp. 3067–3070, 2013.</w:t>
      </w:r>
    </w:p>
    <w:p w14:paraId="2B7209B0" w14:textId="77777777" w:rsidR="00B330AD" w:rsidRPr="00B330AD" w:rsidRDefault="00B330AD" w:rsidP="00B330AD">
      <w:pPr>
        <w:widowControl w:val="0"/>
        <w:autoSpaceDE w:val="0"/>
        <w:autoSpaceDN w:val="0"/>
        <w:adjustRightInd w:val="0"/>
        <w:spacing w:after="0" w:line="240" w:lineRule="auto"/>
        <w:ind w:left="640" w:hanging="640"/>
        <w:rPr>
          <w:rFonts w:ascii="Times New Roman" w:hAnsi="Times New Roman" w:cs="Times New Roman"/>
          <w:noProof/>
          <w:sz w:val="20"/>
          <w:szCs w:val="24"/>
        </w:rPr>
      </w:pPr>
      <w:r w:rsidRPr="00B330AD">
        <w:rPr>
          <w:rFonts w:ascii="Times New Roman" w:hAnsi="Times New Roman" w:cs="Times New Roman"/>
          <w:noProof/>
          <w:sz w:val="20"/>
          <w:szCs w:val="24"/>
        </w:rPr>
        <w:t>[5]</w:t>
      </w:r>
      <w:r w:rsidRPr="00B330AD">
        <w:rPr>
          <w:rFonts w:ascii="Times New Roman" w:hAnsi="Times New Roman" w:cs="Times New Roman"/>
          <w:noProof/>
          <w:sz w:val="20"/>
          <w:szCs w:val="24"/>
        </w:rPr>
        <w:tab/>
        <w:t xml:space="preserve">J. W. P. Hsu, M. J. Manfra, R. J. Molnar, B. Heying, and J. S. Speck, “Direct imaging of reverse-bias leakage through pure screw dislocations in GaN films grown by molecular beam epitaxy on GaN templates,” </w:t>
      </w:r>
      <w:r w:rsidRPr="00B330AD">
        <w:rPr>
          <w:rFonts w:ascii="Times New Roman" w:hAnsi="Times New Roman" w:cs="Times New Roman"/>
          <w:i/>
          <w:iCs/>
          <w:noProof/>
          <w:sz w:val="20"/>
          <w:szCs w:val="24"/>
        </w:rPr>
        <w:t>Appl. Phys. Lett.</w:t>
      </w:r>
      <w:r w:rsidRPr="00B330AD">
        <w:rPr>
          <w:rFonts w:ascii="Times New Roman" w:hAnsi="Times New Roman" w:cs="Times New Roman"/>
          <w:noProof/>
          <w:sz w:val="20"/>
          <w:szCs w:val="24"/>
        </w:rPr>
        <w:t>, vol. 81, no. 1, pp. 79–81, 2002.</w:t>
      </w:r>
    </w:p>
    <w:p w14:paraId="2B7209B1" w14:textId="77777777" w:rsidR="00B330AD" w:rsidRPr="00B330AD" w:rsidRDefault="00B330AD" w:rsidP="00B330AD">
      <w:pPr>
        <w:widowControl w:val="0"/>
        <w:autoSpaceDE w:val="0"/>
        <w:autoSpaceDN w:val="0"/>
        <w:adjustRightInd w:val="0"/>
        <w:spacing w:after="0" w:line="240" w:lineRule="auto"/>
        <w:ind w:left="640" w:hanging="640"/>
        <w:rPr>
          <w:rFonts w:ascii="Times New Roman" w:hAnsi="Times New Roman" w:cs="Times New Roman"/>
          <w:noProof/>
          <w:sz w:val="20"/>
        </w:rPr>
      </w:pPr>
      <w:r w:rsidRPr="00B330AD">
        <w:rPr>
          <w:rFonts w:ascii="Times New Roman" w:hAnsi="Times New Roman" w:cs="Times New Roman"/>
          <w:noProof/>
          <w:sz w:val="20"/>
          <w:szCs w:val="24"/>
        </w:rPr>
        <w:t>[6]</w:t>
      </w:r>
      <w:r w:rsidRPr="00B330AD">
        <w:rPr>
          <w:rFonts w:ascii="Times New Roman" w:hAnsi="Times New Roman" w:cs="Times New Roman"/>
          <w:noProof/>
          <w:sz w:val="20"/>
          <w:szCs w:val="24"/>
        </w:rPr>
        <w:tab/>
        <w:t xml:space="preserve">S. Usami </w:t>
      </w:r>
      <w:r w:rsidRPr="00B330AD">
        <w:rPr>
          <w:rFonts w:ascii="Times New Roman" w:hAnsi="Times New Roman" w:cs="Times New Roman"/>
          <w:i/>
          <w:iCs/>
          <w:noProof/>
          <w:sz w:val="20"/>
          <w:szCs w:val="24"/>
        </w:rPr>
        <w:t>et al.</w:t>
      </w:r>
      <w:r w:rsidRPr="00B330AD">
        <w:rPr>
          <w:rFonts w:ascii="Times New Roman" w:hAnsi="Times New Roman" w:cs="Times New Roman"/>
          <w:noProof/>
          <w:sz w:val="20"/>
          <w:szCs w:val="24"/>
        </w:rPr>
        <w:t xml:space="preserve">, “Correlation between dislocations and leakage current of p-n diodes on a free-standing GaN substrate,” </w:t>
      </w:r>
      <w:r w:rsidRPr="00B330AD">
        <w:rPr>
          <w:rFonts w:ascii="Times New Roman" w:hAnsi="Times New Roman" w:cs="Times New Roman"/>
          <w:i/>
          <w:iCs/>
          <w:noProof/>
          <w:sz w:val="20"/>
          <w:szCs w:val="24"/>
        </w:rPr>
        <w:t>Appl. Phys. Lett.</w:t>
      </w:r>
      <w:r w:rsidRPr="00B330AD">
        <w:rPr>
          <w:rFonts w:ascii="Times New Roman" w:hAnsi="Times New Roman" w:cs="Times New Roman"/>
          <w:noProof/>
          <w:sz w:val="20"/>
          <w:szCs w:val="24"/>
        </w:rPr>
        <w:t>, vol. 112, no. 18, 2018.</w:t>
      </w:r>
    </w:p>
    <w:p w14:paraId="2B7209B2" w14:textId="77777777" w:rsidR="00D774D1" w:rsidRPr="00C546A1" w:rsidRDefault="00D774D1" w:rsidP="0029182C">
      <w:pPr>
        <w:keepNext/>
        <w:spacing w:after="0" w:line="240" w:lineRule="auto"/>
        <w:ind w:left="202"/>
        <w:mirrorIndents/>
        <w:jc w:val="both"/>
        <w:rPr>
          <w:rFonts w:ascii="Times New Roman" w:hAnsi="Times New Roman" w:cs="Times New Roman"/>
          <w:sz w:val="20"/>
          <w:szCs w:val="20"/>
        </w:rPr>
      </w:pPr>
      <w:r>
        <w:rPr>
          <w:rFonts w:ascii="Times New Roman" w:hAnsi="Times New Roman" w:cs="Times New Roman"/>
          <w:sz w:val="20"/>
          <w:szCs w:val="20"/>
        </w:rPr>
        <w:fldChar w:fldCharType="end"/>
      </w:r>
    </w:p>
    <w:sectPr w:rsidR="00D774D1" w:rsidRPr="00C546A1" w:rsidSect="00F62D5A">
      <w:type w:val="continuous"/>
      <w:pgSz w:w="12240" w:h="15840"/>
      <w:pgMar w:top="1440" w:right="1008" w:bottom="1440" w:left="1008"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D5A"/>
    <w:rsid w:val="000C069B"/>
    <w:rsid w:val="000C33A5"/>
    <w:rsid w:val="001404D4"/>
    <w:rsid w:val="001A7C63"/>
    <w:rsid w:val="0029182C"/>
    <w:rsid w:val="002A1C26"/>
    <w:rsid w:val="002D5CAC"/>
    <w:rsid w:val="002F53C3"/>
    <w:rsid w:val="003529F0"/>
    <w:rsid w:val="004A36D0"/>
    <w:rsid w:val="00503E81"/>
    <w:rsid w:val="00541681"/>
    <w:rsid w:val="00562C42"/>
    <w:rsid w:val="00594747"/>
    <w:rsid w:val="006160E1"/>
    <w:rsid w:val="007476AC"/>
    <w:rsid w:val="00797D48"/>
    <w:rsid w:val="007A60A6"/>
    <w:rsid w:val="007D6BB7"/>
    <w:rsid w:val="00822BB6"/>
    <w:rsid w:val="0088549E"/>
    <w:rsid w:val="008A1A04"/>
    <w:rsid w:val="008D2F37"/>
    <w:rsid w:val="00920180"/>
    <w:rsid w:val="009D086C"/>
    <w:rsid w:val="00A724C4"/>
    <w:rsid w:val="00B330AD"/>
    <w:rsid w:val="00BF4779"/>
    <w:rsid w:val="00C17EB2"/>
    <w:rsid w:val="00C546A1"/>
    <w:rsid w:val="00CA01B9"/>
    <w:rsid w:val="00D30DD8"/>
    <w:rsid w:val="00D67923"/>
    <w:rsid w:val="00D774D1"/>
    <w:rsid w:val="00D90550"/>
    <w:rsid w:val="00E03C14"/>
    <w:rsid w:val="00EE087B"/>
    <w:rsid w:val="00F11033"/>
    <w:rsid w:val="00F62D5A"/>
    <w:rsid w:val="00F83D50"/>
    <w:rsid w:val="00FD7287"/>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095F"/>
  <w15:chartTrackingRefBased/>
  <w15:docId w15:val="{55D8731C-E791-46FF-8EE1-1FBD076E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2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3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E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5B7EC-A9AB-488C-A166-CB6128E1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4350</Words>
  <Characters>24797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 Ebrish</dc:creator>
  <cp:keywords/>
  <dc:description/>
  <cp:lastModifiedBy>Peter Ersland</cp:lastModifiedBy>
  <cp:revision>17</cp:revision>
  <cp:lastPrinted>2020-03-03T16:21:00Z</cp:lastPrinted>
  <dcterms:created xsi:type="dcterms:W3CDTF">2020-02-21T23:54:00Z</dcterms:created>
  <dcterms:modified xsi:type="dcterms:W3CDTF">2020-03-10T19:31:00Z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3ab16fc8-0c52-3580-a066-9c2b9eaeaced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