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odyText"/>
        <w:jc w:val="center"/>
      </w:pPr>
      <w:r>
        <w:t xml:space="preserve">Application of 280nm In-Situ Metrology to study the Influence of </w:t>
      </w:r>
      <w:proofErr w:type="spellStart"/>
      <w:r>
        <w:t>AlN</w:t>
      </w:r>
      <w:proofErr w:type="spellEnd"/>
      <w:r>
        <w:t xml:space="preserve"> Templates</w:t>
      </w:r>
    </w:p>
    <w:p>
      <w:pPr>
        <w:jc w:val="center"/>
        <w:rPr>
          <w:b/>
          <w:sz w:val="28"/>
        </w:rPr>
      </w:pPr>
      <w:r>
        <w:rPr>
          <w:b/>
          <w:sz w:val="28"/>
        </w:rPr>
        <w:t>on Surface Roughness and Strain Effects in UVA/UVB LEDs</w:t>
      </w:r>
    </w:p>
    <w:p>
      <w:pPr>
        <w:pStyle w:val="Heading1"/>
        <w:jc w:val="center"/>
        <w:rPr>
          <w:lang w:val="de-DE"/>
        </w:rPr>
      </w:pPr>
      <w:r>
        <w:rPr>
          <w:lang w:val="de-DE"/>
        </w:rPr>
        <w:t>K. Prince</w:t>
      </w:r>
      <w:r>
        <w:rPr>
          <w:vertAlign w:val="superscript"/>
          <w:lang w:val="de-DE"/>
        </w:rPr>
        <w:t>1*</w:t>
      </w:r>
      <w:r>
        <w:rPr>
          <w:lang w:val="de-DE"/>
        </w:rPr>
        <w:t xml:space="preserve"> A. Knauer</w:t>
      </w:r>
      <w:r>
        <w:rPr>
          <w:vertAlign w:val="superscript"/>
          <w:lang w:val="de-DE"/>
        </w:rPr>
        <w:t>2</w:t>
      </w:r>
      <w:r>
        <w:rPr>
          <w:lang w:val="de-DE"/>
        </w:rPr>
        <w:t>, A. Mogilatenko</w:t>
      </w:r>
      <w:r>
        <w:rPr>
          <w:vertAlign w:val="superscript"/>
          <w:lang w:val="de-DE"/>
        </w:rPr>
        <w:t>2</w:t>
      </w:r>
      <w:r>
        <w:rPr>
          <w:lang w:val="de-DE"/>
        </w:rPr>
        <w:t>, M. Weyers</w:t>
      </w:r>
      <w:r>
        <w:rPr>
          <w:vertAlign w:val="superscript"/>
          <w:lang w:val="de-DE"/>
        </w:rPr>
        <w:t>2</w:t>
      </w:r>
      <w:r>
        <w:rPr>
          <w:lang w:val="de-DE"/>
        </w:rPr>
        <w:t>, and K. Haberland</w:t>
      </w:r>
      <w:r>
        <w:rPr>
          <w:vertAlign w:val="superscript"/>
          <w:lang w:val="de-DE"/>
        </w:rPr>
        <w:t>1</w:t>
      </w:r>
    </w:p>
    <w:p>
      <w:pPr>
        <w:jc w:val="center"/>
        <w:rPr>
          <w:sz w:val="24"/>
          <w:lang w:val="de-DE"/>
        </w:rPr>
      </w:pPr>
    </w:p>
    <w:p>
      <w:pPr>
        <w:jc w:val="center"/>
        <w:rPr>
          <w:color w:val="000000" w:themeColor="text1"/>
          <w:vertAlign w:val="superscript"/>
          <w:lang w:val="de-DE"/>
        </w:rPr>
      </w:pPr>
      <w:r>
        <w:rPr>
          <w:color w:val="000000" w:themeColor="text1"/>
          <w:vertAlign w:val="superscript"/>
          <w:lang w:val="de-DE"/>
        </w:rPr>
        <w:t xml:space="preserve">1 </w:t>
      </w:r>
      <w:r>
        <w:rPr>
          <w:color w:val="000000" w:themeColor="text1"/>
          <w:lang w:val="de-DE"/>
        </w:rPr>
        <w:t>LayTec AG, Berlin, Germany (</w:t>
      </w:r>
      <w:hyperlink r:id="rId8" w:history="1">
        <w:r>
          <w:rPr>
            <w:rStyle w:val="Hyperlink"/>
            <w:lang w:val="de-DE"/>
          </w:rPr>
          <w:t>kamau.prince@laytec.de</w:t>
        </w:r>
      </w:hyperlink>
      <w:r>
        <w:rPr>
          <w:color w:val="000000" w:themeColor="text1"/>
          <w:lang w:val="de-DE"/>
        </w:rPr>
        <w:t>).</w:t>
      </w:r>
      <w:r>
        <w:rPr>
          <w:color w:val="000000" w:themeColor="text1"/>
          <w:vertAlign w:val="superscript"/>
          <w:lang w:val="de-DE"/>
        </w:rPr>
        <w:t xml:space="preserve"> </w:t>
      </w:r>
    </w:p>
    <w:p>
      <w:pPr>
        <w:jc w:val="center"/>
        <w:rPr>
          <w:lang w:val="de-DE"/>
        </w:rPr>
      </w:pPr>
      <w:r>
        <w:rPr>
          <w:color w:val="000000" w:themeColor="text1"/>
          <w:vertAlign w:val="superscript"/>
          <w:lang w:val="de-DE"/>
        </w:rPr>
        <w:t>2</w:t>
      </w:r>
      <w:r>
        <w:rPr>
          <w:color w:val="000000" w:themeColor="text1"/>
          <w:lang w:val="de-DE"/>
        </w:rPr>
        <w:t xml:space="preserve"> Ferdinand-Braun-Institut, Leibniz-Institut für Höchstfrequenztechnik, Berlin, Germany. </w:t>
      </w:r>
    </w:p>
    <w:p>
      <w:pPr>
        <w:jc w:val="center"/>
        <w:rPr>
          <w:lang w:val="de-DE"/>
        </w:rPr>
      </w:pPr>
    </w:p>
    <w:p>
      <w:pPr>
        <w:pStyle w:val="Heading2"/>
        <w:tabs>
          <w:tab w:val="left" w:pos="270"/>
        </w:tabs>
        <w:rPr>
          <w:b/>
          <w:smallCaps w:val="0"/>
        </w:rPr>
      </w:pPr>
      <w:r>
        <w:rPr>
          <w:b/>
          <w:smallCaps w:val="0"/>
        </w:rPr>
        <w:t xml:space="preserve">Keywords:  UV LED, in-situ metrology, MOVPE, </w:t>
      </w:r>
      <w:proofErr w:type="spellStart"/>
      <w:r>
        <w:rPr>
          <w:b/>
          <w:smallCaps w:val="0"/>
        </w:rPr>
        <w:t>EpiCurveTT</w:t>
      </w:r>
      <w:proofErr w:type="spellEnd"/>
    </w:p>
    <w:p/>
    <w:p>
      <w:pPr>
        <w:pStyle w:val="CommentText"/>
        <w:sectPr>
          <w:headerReference w:type="even" r:id="rId9"/>
          <w:headerReference w:type="default" r:id="rId10"/>
          <w:footerReference w:type="even" r:id="rId11"/>
          <w:footerReference w:type="default" r:id="rId12"/>
          <w:headerReference w:type="first" r:id="rId13"/>
          <w:footerReference w:type="first" r:id="rId14"/>
          <w:pgSz w:w="12240" w:h="15840" w:code="1"/>
          <w:pgMar w:top="1440" w:right="1008" w:bottom="1440" w:left="1008" w:header="720" w:footer="720" w:gutter="0"/>
          <w:paperSrc w:first="1" w:other="1"/>
          <w:cols w:space="720"/>
        </w:sectPr>
      </w:pPr>
    </w:p>
    <w:p>
      <w:pPr>
        <w:pStyle w:val="Heading2"/>
        <w:tabs>
          <w:tab w:val="left" w:pos="270"/>
        </w:tabs>
        <w:rPr>
          <w:b/>
          <w:smallCaps w:val="0"/>
        </w:rPr>
      </w:pPr>
      <w:r>
        <w:rPr>
          <w:b/>
          <w:smallCaps w:val="0"/>
        </w:rPr>
        <w:t>Abstract</w:t>
      </w:r>
    </w:p>
    <w:p>
      <w:pPr>
        <w:pStyle w:val="BodyText2"/>
        <w:tabs>
          <w:tab w:val="left" w:pos="270"/>
        </w:tabs>
        <w:rPr>
          <w:b/>
        </w:rPr>
      </w:pPr>
      <w:r>
        <w:rPr>
          <w:b/>
        </w:rPr>
        <w:tab/>
        <w:t xml:space="preserve">Traditional in-situ reflectometry sensing at blue (405 nm), red (630 nm) and NIR (950 nm) wavelengths cannot resolve variations in </w:t>
      </w:r>
      <w:proofErr w:type="spellStart"/>
      <w:r>
        <w:rPr>
          <w:b/>
        </w:rPr>
        <w:t>InAlGaN</w:t>
      </w:r>
      <w:proofErr w:type="spellEnd"/>
      <w:r>
        <w:rPr>
          <w:b/>
        </w:rPr>
        <w:t xml:space="preserve"> surface roughness or layer thickness with the precision necessary for effective in situ process control. LayTec has developed in situ reflectance metrology at 280 nm to address this need. </w:t>
      </w:r>
    </w:p>
    <w:p>
      <w:pPr>
        <w:pStyle w:val="BodyText2"/>
        <w:tabs>
          <w:tab w:val="left" w:pos="270"/>
        </w:tabs>
        <w:rPr>
          <w:b/>
        </w:rPr>
      </w:pPr>
      <w:r>
        <w:rPr>
          <w:b/>
        </w:rPr>
        <w:t>We report successful application of in situ UV reflect-</w:t>
      </w:r>
      <w:proofErr w:type="spellStart"/>
      <w:r>
        <w:rPr>
          <w:b/>
        </w:rPr>
        <w:t>ometry</w:t>
      </w:r>
      <w:proofErr w:type="spellEnd"/>
      <w:r>
        <w:rPr>
          <w:b/>
        </w:rPr>
        <w:t xml:space="preserve"> and curvature, distinguishing between various phases of strain relaxation and surface relaxation during non-</w:t>
      </w:r>
      <w:proofErr w:type="spellStart"/>
      <w:r>
        <w:rPr>
          <w:b/>
        </w:rPr>
        <w:t>pseudomorphic</w:t>
      </w:r>
      <w:proofErr w:type="spellEnd"/>
      <w:r>
        <w:rPr>
          <w:b/>
        </w:rPr>
        <w:t xml:space="preserve"> growth of Al</w:t>
      </w:r>
      <w:r>
        <w:rPr>
          <w:b/>
          <w:vertAlign w:val="subscript"/>
        </w:rPr>
        <w:t>0.5</w:t>
      </w:r>
      <w:r>
        <w:rPr>
          <w:b/>
        </w:rPr>
        <w:t>Ga</w:t>
      </w:r>
      <w:r>
        <w:rPr>
          <w:b/>
          <w:vertAlign w:val="subscript"/>
        </w:rPr>
        <w:t>0.5</w:t>
      </w:r>
      <w:r>
        <w:rPr>
          <w:b/>
        </w:rPr>
        <w:t xml:space="preserve">N on </w:t>
      </w:r>
      <w:proofErr w:type="spellStart"/>
      <w:r>
        <w:rPr>
          <w:b/>
        </w:rPr>
        <w:t>AlN</w:t>
      </w:r>
      <w:proofErr w:type="spellEnd"/>
      <w:r>
        <w:rPr>
          <w:b/>
        </w:rPr>
        <w:t>/sapphire. Results were validated by XRD, TEM and AFM. Results illuminate the influence of reduced TDD on relaxation effects during growth of UVA and UVB LED structures.</w:t>
      </w:r>
    </w:p>
    <w:p>
      <w:pPr>
        <w:pStyle w:val="BodyText2"/>
        <w:rPr>
          <w:b/>
        </w:rPr>
      </w:pPr>
    </w:p>
    <w:p>
      <w:pPr>
        <w:pStyle w:val="Heading2"/>
      </w:pPr>
      <w:r>
        <w:t xml:space="preserve">Introduction </w:t>
      </w:r>
    </w:p>
    <w:p/>
    <w:p>
      <w:pPr>
        <w:pStyle w:val="BodyText2"/>
        <w:tabs>
          <w:tab w:val="left" w:pos="270"/>
        </w:tabs>
      </w:pPr>
      <w:r>
        <w:tab/>
        <w:t xml:space="preserve">Growing interest in the development and application of UV photonics has recently driven the development and adoption of energy-efficient LED sources operating in the UVA (320-400 nm) and UVB (280-320 nm) bands, mainly in medical (imaging, air/water purification, light therapy), and industrial applications as sensing, instrumentation, label tracking, ink/polymer curing [1-3]. The performance of these UV LED devices is directly related to strain and defect phenomena introduced during epi growth caused by lattice and thermal mismatch between </w:t>
      </w:r>
      <w:proofErr w:type="spellStart"/>
      <w:r>
        <w:t>AlGaN</w:t>
      </w:r>
      <w:proofErr w:type="spellEnd"/>
      <w:r>
        <w:t xml:space="preserve"> epi layers and the sapphire substrate.</w:t>
      </w:r>
    </w:p>
    <w:p>
      <w:pPr>
        <w:pStyle w:val="BodyText2"/>
        <w:tabs>
          <w:tab w:val="left" w:pos="270"/>
        </w:tabs>
      </w:pPr>
      <w:r>
        <w:t xml:space="preserve">UVA/B LED structures are based on </w:t>
      </w:r>
      <w:proofErr w:type="spellStart"/>
      <w:r>
        <w:t>AlGaN</w:t>
      </w:r>
      <w:proofErr w:type="spellEnd"/>
      <w:r>
        <w:t xml:space="preserve"> layers with relatively low Al mole fraction, which grow </w:t>
      </w:r>
      <w:proofErr w:type="spellStart"/>
      <w:r>
        <w:t>nonpseudomorphic</w:t>
      </w:r>
      <w:proofErr w:type="spellEnd"/>
      <w:r>
        <w:t xml:space="preserve"> on </w:t>
      </w:r>
      <w:proofErr w:type="spellStart"/>
      <w:r>
        <w:t>AlN</w:t>
      </w:r>
      <w:proofErr w:type="spellEnd"/>
      <w:r>
        <w:t xml:space="preserve"> and thus require relaxation of the involved compressive stress. The main relaxation process is the generation of dislocations and their inclination. Since threading dislocation (TD) lead to non-radiative recombination, TD densities below 10</w:t>
      </w:r>
      <w:r>
        <w:rPr>
          <w:vertAlign w:val="superscript"/>
        </w:rPr>
        <w:t>9</w:t>
      </w:r>
      <w:r>
        <w:t xml:space="preserve"> cm</w:t>
      </w:r>
      <w:r>
        <w:rPr>
          <w:vertAlign w:val="superscript"/>
        </w:rPr>
        <w:t>-2</w:t>
      </w:r>
      <w:r>
        <w:t xml:space="preserve"> in the active region of LEDs are needed for efficient LEDs [4,5]. </w:t>
      </w:r>
    </w:p>
    <w:p>
      <w:pPr>
        <w:pStyle w:val="BodyText2"/>
        <w:tabs>
          <w:tab w:val="left" w:pos="270"/>
        </w:tabs>
      </w:pPr>
      <w:r>
        <w:t xml:space="preserve">To avoid defect formation in the active region by strain relaxation the underlying </w:t>
      </w:r>
      <w:proofErr w:type="spellStart"/>
      <w:r>
        <w:t>AlGaN</w:t>
      </w:r>
      <w:proofErr w:type="spellEnd"/>
      <w:r>
        <w:t xml:space="preserve"> n-contact layer should form a fully relaxed pseudo-substrate of high crystalline quality. Process optimization demands in situ monitoring of strain relaxation phenomena (cracking and surface roughening). </w:t>
      </w:r>
    </w:p>
    <w:p>
      <w:pPr>
        <w:pStyle w:val="Heading3"/>
        <w:tabs>
          <w:tab w:val="left" w:pos="270"/>
          <w:tab w:val="left" w:pos="450"/>
        </w:tabs>
        <w:rPr>
          <w:i w:val="0"/>
        </w:rPr>
      </w:pPr>
    </w:p>
    <w:p>
      <w:pPr>
        <w:pStyle w:val="Heading2"/>
      </w:pPr>
      <w:r>
        <w:t>Experiment Details</w:t>
      </w:r>
      <w:r>
        <w:br/>
      </w:r>
    </w:p>
    <w:p>
      <w:pPr>
        <w:tabs>
          <w:tab w:val="left" w:pos="270"/>
        </w:tabs>
        <w:jc w:val="both"/>
      </w:pPr>
      <w:r>
        <w:tab/>
        <w:t xml:space="preserve">DUV LED structures were simultaneously grown on 2 different two-inch (0001) oriented </w:t>
      </w:r>
      <w:proofErr w:type="spellStart"/>
      <w:r>
        <w:t>AlN</w:t>
      </w:r>
      <w:proofErr w:type="spellEnd"/>
      <w:r>
        <w:t xml:space="preserve">/sapphire templates in a close coupled showerhead (CCS) metalorganic vapor phase epitaxy (MOVPE) reactor, using standard precursors. These LED structures consist of the following layers: 125 nm homoepitaxial </w:t>
      </w:r>
      <w:proofErr w:type="spellStart"/>
      <w:r>
        <w:t>AlN</w:t>
      </w:r>
      <w:proofErr w:type="spellEnd"/>
      <w:r>
        <w:t xml:space="preserve">, 200 nm thick </w:t>
      </w:r>
      <w:proofErr w:type="spellStart"/>
      <w:r>
        <w:t>AlN</w:t>
      </w:r>
      <w:proofErr w:type="spellEnd"/>
      <w:r>
        <w:t>/GaN short-period superlattice (average composition Al</w:t>
      </w:r>
      <w:r>
        <w:rPr>
          <w:vertAlign w:val="subscript"/>
        </w:rPr>
        <w:t>0.95</w:t>
      </w:r>
      <w:r>
        <w:t>Ga</w:t>
      </w:r>
      <w:r>
        <w:rPr>
          <w:vertAlign w:val="subscript"/>
        </w:rPr>
        <w:t>0.05</w:t>
      </w:r>
      <w:r>
        <w:t>N), 600 nm un-doped Al</w:t>
      </w:r>
      <w:r>
        <w:rPr>
          <w:vertAlign w:val="subscript"/>
        </w:rPr>
        <w:t>0.75</w:t>
      </w:r>
      <w:r>
        <w:t>Ga</w:t>
      </w:r>
      <w:r>
        <w:rPr>
          <w:vertAlign w:val="subscript"/>
        </w:rPr>
        <w:t>0.25</w:t>
      </w:r>
      <w:r>
        <w:t>N, 1600 nm Al</w:t>
      </w:r>
      <w:r>
        <w:rPr>
          <w:vertAlign w:val="subscript"/>
        </w:rPr>
        <w:t>x</w:t>
      </w:r>
      <w:r>
        <w:t>Ga</w:t>
      </w:r>
      <w:r>
        <w:rPr>
          <w:vertAlign w:val="subscript"/>
        </w:rPr>
        <w:t>1-x</w:t>
      </w:r>
      <w:r>
        <w:t>N (x graded from 0.75 to 0.5), 750 nm thick n</w:t>
      </w:r>
      <w:r>
        <w:rPr>
          <w:vertAlign w:val="superscript"/>
        </w:rPr>
        <w:t>-</w:t>
      </w:r>
      <w:r>
        <w:t>-Al</w:t>
      </w:r>
      <w:r>
        <w:rPr>
          <w:vertAlign w:val="subscript"/>
        </w:rPr>
        <w:t>0.5</w:t>
      </w:r>
      <w:r>
        <w:t>Ga</w:t>
      </w:r>
      <w:r>
        <w:rPr>
          <w:vertAlign w:val="subscript"/>
        </w:rPr>
        <w:t>0.5</w:t>
      </w:r>
      <w:r>
        <w:t>N:Si buffer, and 1150 nm n-Al</w:t>
      </w:r>
      <w:r>
        <w:rPr>
          <w:vertAlign w:val="subscript"/>
        </w:rPr>
        <w:t>0.5</w:t>
      </w:r>
      <w:r>
        <w:t>Ga</w:t>
      </w:r>
      <w:r>
        <w:rPr>
          <w:vertAlign w:val="subscript"/>
        </w:rPr>
        <w:t>0.5</w:t>
      </w:r>
      <w:r>
        <w:t xml:space="preserve">N:Si contact layer. The active region on the n-side comprised 3 </w:t>
      </w:r>
      <w:proofErr w:type="spellStart"/>
      <w:r>
        <w:t>InAlGaN</w:t>
      </w:r>
      <w:proofErr w:type="spellEnd"/>
      <w:r>
        <w:t>/</w:t>
      </w:r>
      <w:proofErr w:type="spellStart"/>
      <w:r>
        <w:t>InAlGaN</w:t>
      </w:r>
      <w:proofErr w:type="spellEnd"/>
      <w:r>
        <w:t xml:space="preserve"> multi-quantum wells (MQW) for 310 nm emission, a Mg-doped </w:t>
      </w:r>
      <w:proofErr w:type="spellStart"/>
      <w:r>
        <w:t>AlGaN</w:t>
      </w:r>
      <w:proofErr w:type="spellEnd"/>
      <w:r>
        <w:t xml:space="preserve"> electron-blocking layer [9], 100 nm thick p-Al</w:t>
      </w:r>
      <w:r>
        <w:rPr>
          <w:vertAlign w:val="subscript"/>
        </w:rPr>
        <w:t>0.4</w:t>
      </w:r>
      <w:r>
        <w:t>Ga</w:t>
      </w:r>
      <w:r>
        <w:rPr>
          <w:vertAlign w:val="subscript"/>
        </w:rPr>
        <w:t>0.6</w:t>
      </w:r>
      <w:r>
        <w:t>N:Mg and a 30 nm thick p</w:t>
      </w:r>
      <w:r>
        <w:rPr>
          <w:vertAlign w:val="superscript"/>
        </w:rPr>
        <w:t>+</w:t>
      </w:r>
      <w:r>
        <w:t>-</w:t>
      </w:r>
      <w:proofErr w:type="spellStart"/>
      <w:r>
        <w:t>GaN:Mg</w:t>
      </w:r>
      <w:proofErr w:type="spellEnd"/>
      <w:r>
        <w:t xml:space="preserve"> contact layer, annealed for 15 minutes at 890°C in N</w:t>
      </w:r>
      <w:r>
        <w:rPr>
          <w:vertAlign w:val="subscript"/>
        </w:rPr>
        <w:t>2</w:t>
      </w:r>
      <w:r>
        <w:t xml:space="preserve"> ambient for p-doping activation. For in situ growth monitoring a LayTec </w:t>
      </w:r>
      <w:proofErr w:type="spellStart"/>
      <w:r>
        <w:t>EpiCurveTT</w:t>
      </w:r>
      <w:proofErr w:type="spellEnd"/>
      <w:r>
        <w:t xml:space="preserve">® measuring </w:t>
      </w:r>
      <w:proofErr w:type="spellStart"/>
      <w:r>
        <w:t>reflectivities</w:t>
      </w:r>
      <w:proofErr w:type="spellEnd"/>
      <w:r>
        <w:t xml:space="preserve"> at 950 nm,</w:t>
      </w:r>
      <w:r>
        <w:rPr>
          <w:bCs/>
          <w:iCs/>
          <w:noProof/>
          <w:sz w:val="24"/>
          <w:szCs w:val="24"/>
          <w:lang w:eastAsia="de-DE"/>
        </w:rPr>
        <w:t xml:space="preserve"> </w:t>
      </w:r>
      <w:r>
        <w:t>633 nm, 405 nm, and curvature (K) monitoring; was fitted with an additional 280 nm reflectance (R</w:t>
      </w:r>
      <w:r>
        <w:rPr>
          <w:vertAlign w:val="subscript"/>
        </w:rPr>
        <w:t>280</w:t>
      </w:r>
      <w:r>
        <w:t>) unit for  improved surface sensitivity. Layer thicknesses were determined by Fabry-Perot oscillations of the R</w:t>
      </w:r>
      <w:r>
        <w:rPr>
          <w:vertAlign w:val="subscript"/>
        </w:rPr>
        <w:t>405</w:t>
      </w:r>
      <w:r>
        <w:t xml:space="preserve"> signal. Ex-situ verification was done by scanning electron microscopy of cross-sections of the LED structures. Strain, degree of relaxation, and layer composition were determined from high-resolution XRD using ω–ω/2θ reciprocal space maps (RSM) of the (00.4) and (11.4) reflections in a </w:t>
      </w:r>
      <w:proofErr w:type="spellStart"/>
      <w:r>
        <w:t>PANanalytical</w:t>
      </w:r>
      <w:proofErr w:type="spellEnd"/>
      <w:r>
        <w:t xml:space="preserve"> X’Pert3 system including a four-fold 220 Ge monochromator. For rocking-curve measurements in (00.2) and (10.2) reflection, the source aperture was 0.5 mm × 5 mm and the acceptance angle in front of the detector was 1°. An array detector was used for RSM measurements.</w:t>
      </w:r>
    </w:p>
    <w:p>
      <w:pPr>
        <w:tabs>
          <w:tab w:val="left" w:pos="270"/>
        </w:tabs>
        <w:jc w:val="both"/>
      </w:pPr>
    </w:p>
    <w:p>
      <w:pPr>
        <w:pStyle w:val="Heading2"/>
      </w:pPr>
      <w:r>
        <w:t>Results</w:t>
      </w:r>
    </w:p>
    <w:p/>
    <w:p>
      <w:pPr>
        <w:tabs>
          <w:tab w:val="left" w:pos="284"/>
        </w:tabs>
      </w:pPr>
      <w:r>
        <w:tab/>
        <w:t xml:space="preserve">Nominally identical UVB LED heterostructures grown simultaneously on two </w:t>
      </w:r>
      <w:proofErr w:type="spellStart"/>
      <w:r>
        <w:t>AlN</w:t>
      </w:r>
      <w:proofErr w:type="spellEnd"/>
      <w:r>
        <w:t>/sapphire template layers, with</w:t>
      </w:r>
    </w:p>
    <w:p>
      <w:pPr>
        <w:tabs>
          <w:tab w:val="left" w:pos="270"/>
        </w:tabs>
        <w:jc w:val="both"/>
      </w:pPr>
      <w:r>
        <w:t xml:space="preserve">different TDD and different surface roughness, were compared to understand relaxation mechanisms and their dependence on the properties of the template layers. Two templates with 1500 nm </w:t>
      </w:r>
      <w:proofErr w:type="spellStart"/>
      <w:r>
        <w:t>AlN</w:t>
      </w:r>
      <w:proofErr w:type="spellEnd"/>
      <w:r>
        <w:t xml:space="preserve"> grown at elevated temperature [10, 11] in a multi-wafer reactor on a 0.2 </w:t>
      </w:r>
      <w:proofErr w:type="spellStart"/>
      <w:r>
        <w:t>dgr</w:t>
      </w:r>
      <w:proofErr w:type="spellEnd"/>
      <w:r>
        <w:t xml:space="preserve"> and a 0.5 </w:t>
      </w:r>
      <w:proofErr w:type="spellStart"/>
      <w:r>
        <w:t>dgr</w:t>
      </w:r>
      <w:proofErr w:type="spellEnd"/>
      <w:r>
        <w:t xml:space="preserve"> off-oriented to m-plane sapphire substrate were employed to realize different TDD [12]. The </w:t>
      </w:r>
      <w:proofErr w:type="spellStart"/>
      <w:r>
        <w:t>AlN</w:t>
      </w:r>
      <w:proofErr w:type="spellEnd"/>
      <w:r>
        <w:t xml:space="preserve"> base layers show </w:t>
      </w:r>
      <w:r>
        <w:lastRenderedPageBreak/>
        <w:t xml:space="preserve">typical full width at half maximum of X-ray rocking curves (XC-FWHM) of ~ 60 arcsec for the (00.2) reflection for </w:t>
      </w:r>
      <w:proofErr w:type="spellStart"/>
      <w:r>
        <w:t>bothoff</w:t>
      </w:r>
      <w:proofErr w:type="spellEnd"/>
      <w:r>
        <w:t>-cut angles. The FWHM of the (10.2) reflection is 600 arcsec for the 0.2 </w:t>
      </w:r>
      <w:proofErr w:type="spellStart"/>
      <w:r>
        <w:t>dgr</w:t>
      </w:r>
      <w:proofErr w:type="spellEnd"/>
      <w:r>
        <w:t xml:space="preserve"> off-cut and 550 arcsec for the 0.5 </w:t>
      </w:r>
      <w:proofErr w:type="spellStart"/>
      <w:r>
        <w:t>dgr</w:t>
      </w:r>
      <w:proofErr w:type="spellEnd"/>
      <w:r>
        <w:t xml:space="preserve"> off-cut sample. The corresponding estimated TDD [13-16] is ~ 4 x 10</w:t>
      </w:r>
      <w:r>
        <w:rPr>
          <w:vertAlign w:val="superscript"/>
        </w:rPr>
        <w:t>9</w:t>
      </w:r>
      <w:r>
        <w:t xml:space="preserve"> and ~ 3 x10</w:t>
      </w:r>
      <w:r>
        <w:rPr>
          <w:vertAlign w:val="superscript"/>
        </w:rPr>
        <w:t>9</w:t>
      </w:r>
      <w:r>
        <w:t xml:space="preserve"> cm</w:t>
      </w:r>
      <w:r>
        <w:rPr>
          <w:vertAlign w:val="superscript"/>
        </w:rPr>
        <w:t>-2</w:t>
      </w:r>
      <w:r>
        <w:t xml:space="preserve">. The estimated TDDs correlate well with TDDs determined by defect etching with a KOH solution and dark-spot densities determined by cathodoluminescence spectroscopy. Figure 1 a, b shows the surface morphology obtained on the different </w:t>
      </w:r>
      <w:proofErr w:type="spellStart"/>
      <w:r>
        <w:t>AlN</w:t>
      </w:r>
      <w:proofErr w:type="spellEnd"/>
      <w:r>
        <w:t xml:space="preserve">/sapphire templates. The template with smaller off-cut (Fig. 1a) shows bilayer steps, while the 0.5° off-oriented template (Fig. 1b) has a step-bunched surface with ~6 nm high </w:t>
      </w:r>
      <w:proofErr w:type="spellStart"/>
      <w:r>
        <w:t>macrosteps</w:t>
      </w:r>
      <w:proofErr w:type="spellEnd"/>
      <w:r>
        <w:t xml:space="preserve"> [12, 16].</w:t>
      </w:r>
    </w:p>
    <w:p>
      <w:pPr>
        <w:pStyle w:val="BodyText2"/>
        <w:tabs>
          <w:tab w:val="left" w:pos="270"/>
        </w:tabs>
      </w:pPr>
      <w:r>
        <w:t>Fig. 2 presents the in situ transients of growth temperature, R</w:t>
      </w:r>
      <w:r>
        <w:rPr>
          <w:vertAlign w:val="subscript"/>
        </w:rPr>
        <w:t>280</w:t>
      </w:r>
      <w:r>
        <w:t>, R</w:t>
      </w:r>
      <w:r>
        <w:rPr>
          <w:vertAlign w:val="subscript"/>
        </w:rPr>
        <w:t>630</w:t>
      </w:r>
      <w:r>
        <w:t xml:space="preserve"> and K. During initial heating of the samples, increased (positive) curvature is observed since sapphire has a higher thermal expansion coefficient than </w:t>
      </w:r>
      <w:proofErr w:type="spellStart"/>
      <w:r>
        <w:t>AlN</w:t>
      </w:r>
      <w:proofErr w:type="spellEnd"/>
      <w:r>
        <w:t xml:space="preserve">, producing concave bow and tensile strain in the </w:t>
      </w:r>
      <w:proofErr w:type="spellStart"/>
      <w:r>
        <w:t>AlN</w:t>
      </w:r>
      <w:proofErr w:type="spellEnd"/>
      <w:r>
        <w:t xml:space="preserve"> layer. For a constant Al mole fraction of the growing </w:t>
      </w:r>
      <w:proofErr w:type="spellStart"/>
      <w:r>
        <w:t>AlGaN</w:t>
      </w:r>
      <w:proofErr w:type="spellEnd"/>
      <w:r>
        <w:t xml:space="preserve"> layer, the curvature slope should be constant when it grows </w:t>
      </w:r>
      <w:proofErr w:type="spellStart"/>
      <w:r>
        <w:t>pseudomorphic</w:t>
      </w:r>
      <w:proofErr w:type="spellEnd"/>
      <w:r>
        <w:t xml:space="preserve">. At lower Al mole fractions, lattice mismatch between </w:t>
      </w:r>
      <w:proofErr w:type="spellStart"/>
      <w:r>
        <w:t>AlGaN</w:t>
      </w:r>
      <w:proofErr w:type="spellEnd"/>
      <w:r>
        <w:t xml:space="preserve"> layer and </w:t>
      </w:r>
      <w:proofErr w:type="spellStart"/>
      <w:r>
        <w:t>AlN</w:t>
      </w:r>
      <w:proofErr w:type="spellEnd"/>
      <w:r>
        <w:t xml:space="preserve"> template increases, along with the compressive strain and the curvature slope. </w:t>
      </w:r>
    </w:p>
    <w:p>
      <w:pPr>
        <w:pStyle w:val="BodyText2"/>
        <w:tabs>
          <w:tab w:val="left" w:pos="270"/>
        </w:tabs>
      </w:pPr>
      <w:r>
        <w:rPr>
          <w:noProof/>
          <w:lang w:val="de-DE" w:eastAsia="de-DE"/>
        </w:rPr>
        <mc:AlternateContent>
          <mc:Choice Requires="wps">
            <w:drawing>
              <wp:anchor distT="0" distB="0" distL="114300" distR="114300" simplePos="0" relativeHeight="251661312" behindDoc="0" locked="0" layoutInCell="1" allowOverlap="1">
                <wp:simplePos x="0" y="0"/>
                <wp:positionH relativeFrom="margin">
                  <wp:posOffset>-3175</wp:posOffset>
                </wp:positionH>
                <wp:positionV relativeFrom="paragraph">
                  <wp:posOffset>-3441700</wp:posOffset>
                </wp:positionV>
                <wp:extent cx="3144520" cy="2001520"/>
                <wp:effectExtent l="0" t="0" r="1778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2001520"/>
                        </a:xfrm>
                        <a:prstGeom prst="rect">
                          <a:avLst/>
                        </a:prstGeom>
                        <a:solidFill>
                          <a:srgbClr val="FFFFFF"/>
                        </a:solidFill>
                        <a:ln w="9525">
                          <a:solidFill>
                            <a:srgbClr val="000000"/>
                          </a:solidFill>
                          <a:miter lim="800000"/>
                          <a:headEnd/>
                          <a:tailEnd/>
                        </a:ln>
                      </wps:spPr>
                      <wps:txbx>
                        <w:txbxContent>
                          <w:p>
                            <w:r>
                              <w:rPr>
                                <w:bCs/>
                                <w:iCs/>
                                <w:noProof/>
                                <w:sz w:val="24"/>
                                <w:szCs w:val="24"/>
                                <w:lang w:val="de-DE" w:eastAsia="de-DE"/>
                              </w:rPr>
                              <w:drawing>
                                <wp:inline distT="0" distB="0" distL="0" distR="0">
                                  <wp:extent cx="3048000" cy="13183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rotWithShape="1">
                                          <a:blip r:embed="rId15">
                                            <a:extLst>
                                              <a:ext uri="{28A0092B-C50C-407E-A947-70E740481C1C}">
                                                <a14:useLocalDpi xmlns:a14="http://schemas.microsoft.com/office/drawing/2010/main" val="0"/>
                                              </a:ext>
                                            </a:extLst>
                                          </a:blip>
                                          <a:srcRect r="32517"/>
                                          <a:stretch/>
                                        </pic:blipFill>
                                        <pic:spPr bwMode="auto">
                                          <a:xfrm>
                                            <a:off x="0" y="0"/>
                                            <a:ext cx="3063462" cy="1325062"/>
                                          </a:xfrm>
                                          <a:prstGeom prst="rect">
                                            <a:avLst/>
                                          </a:prstGeom>
                                          <a:ln>
                                            <a:noFill/>
                                          </a:ln>
                                          <a:extLst>
                                            <a:ext uri="{53640926-AAD7-44D8-BBD7-CCE9431645EC}">
                                              <a14:shadowObscured xmlns:a14="http://schemas.microsoft.com/office/drawing/2010/main"/>
                                            </a:ext>
                                          </a:extLst>
                                        </pic:spPr>
                                      </pic:pic>
                                    </a:graphicData>
                                  </a:graphic>
                                </wp:inline>
                              </w:drawing>
                            </w:r>
                          </w:p>
                          <w:p>
                            <w:r>
                              <w:t xml:space="preserve">Fig. 1. AFM images (5 µm x 5 µm) of c-plane oriented </w:t>
                            </w:r>
                            <w:proofErr w:type="spellStart"/>
                            <w:r>
                              <w:t>AlN</w:t>
                            </w:r>
                            <w:proofErr w:type="spellEnd"/>
                            <w:r>
                              <w:t>/sapphire templates with TDD of: a) 4 x 10</w:t>
                            </w:r>
                            <w:r>
                              <w:rPr>
                                <w:vertAlign w:val="superscript"/>
                              </w:rPr>
                              <w:t>9</w:t>
                            </w:r>
                            <w:r>
                              <w:t xml:space="preserve"> cm</w:t>
                            </w:r>
                            <w:r>
                              <w:rPr>
                                <w:vertAlign w:val="superscript"/>
                              </w:rPr>
                              <w:t>-2</w:t>
                            </w:r>
                            <w:r>
                              <w:t xml:space="preserve"> on sapphire with 0.2° off-cut to m-plane; b) 3 x 10</w:t>
                            </w:r>
                            <w:r>
                              <w:rPr>
                                <w:vertAlign w:val="superscript"/>
                              </w:rPr>
                              <w:t>9</w:t>
                            </w:r>
                            <w:r>
                              <w:t xml:space="preserve"> cm</w:t>
                            </w:r>
                            <w:r>
                              <w:rPr>
                                <w:vertAlign w:val="superscript"/>
                              </w:rPr>
                              <w:t>-2</w:t>
                            </w:r>
                            <w:r>
                              <w:t xml:space="preserve"> on sapphire with 0.5° off to m.</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271pt;width:247.6pt;height:15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pvHwIAAEUEAAAOAAAAZHJzL2Uyb0RvYy54bWysU81u2zAMvg/YOwi6L07cpmiNOEWXLsOA&#10;rhvQ7gEYWY6FSaImKbG7px8lp2n2dxmmg0CK1EfyI7m4Hoxme+mDQlvz2WTKmbQCG2W3Nf/yuH5z&#10;yVmIYBvQaGXNn2Tg18vXrxa9q2SJHepGekYgNlS9q3kXo6uKIohOGggTdNKSsUVvIJLqt0XjoSd0&#10;o4tyOr0oevSN8yhkCPR6Oxr5MuO3rRTxU9sGGZmuOeUW8+3zvUl3sVxAtfXgOiUOacA/ZGFAWQp6&#10;hLqFCGzn1W9QRgmPAds4EWgKbFslZK6BqplNf6nmoQMncy1ETnBHmsL/gxX3+8+eqabmJWcWDLXo&#10;UQ6RvcWBlYmd3oWKnB4cucWBnqnLudLg7lB8DcziqgO7lTfeY99JaCi7WfpZnHwdcUIC2fQfsaEw&#10;sIuYgYbWm0QdkcEInbr0dOxMSkXQ49ns/HxekkmQjfo+S0qKAdXzd+dDfC/RsCTU3FPrMzzs70Ic&#10;XZ9dUrSAWjVrpXVW/Haz0p7tgcZknc8B/Sc3bVlf86t5OR8Z+CvENJ8/QRgVad61MjW/PDpBlXh7&#10;ZxtKE6oISo8yVaftgcjE3chiHDYDOSZ2N9g8EaUex7mmPSShQ/+ds55muubh2w685Ex/sNSWK2Ix&#10;LUFWzi4oPmf+1LI5tYAVBFXzyNkormJenJSjxRtqX6sysS+ZHHKlWc2tOexVWoZTPXu9bP/yBwAA&#10;AP//AwBQSwMEFAAGAAgAAAAhAHP6Z1XiAAAACwEAAA8AAABkcnMvZG93bnJldi54bWxMj8FOwzAQ&#10;RO9I/IO1SFxQ62CFNg1xKlSpEu0FtVRwdWMTW8TrKHbb8PdsT3Ba7c5o9k21HH3HzmaILqCEx2kG&#10;zGATtMNWwuF9PSmAxaRQqy6gkfBjIizr25tKlTpccGfO+9QyCsFYKgk2pb7kPDbWeBWnoTdI2lcY&#10;vEq0Di3Xg7pQuO+4yLIZ98ohfbCqNytrmu/9yUt4WIj5evfhNlu7eWs+Xw9x5baFlPd348szsGTG&#10;9GeGKz6hQ01Mx3BCHVknYfJExuvIBXUiQ77I58COdBJiVgCvK/6/Q/0LAAD//wMAUEsBAi0AFAAG&#10;AAgAAAAhALaDOJL+AAAA4QEAABMAAAAAAAAAAAAAAAAAAAAAAFtDb250ZW50X1R5cGVzXS54bWxQ&#10;SwECLQAUAAYACAAAACEAOP0h/9YAAACUAQAACwAAAAAAAAAAAAAAAAAvAQAAX3JlbHMvLnJlbHNQ&#10;SwECLQAUAAYACAAAACEAVdUabx8CAABFBAAADgAAAAAAAAAAAAAAAAAuAgAAZHJzL2Uyb0RvYy54&#10;bWxQSwECLQAUAAYACAAAACEAc/pnVeIAAAALAQAADwAAAAAAAAAAAAAAAAB5BAAAZHJzL2Rvd25y&#10;ZXYueG1sUEsFBgAAAAAEAAQA8wAAAIgFAAAAAA==&#10;">
                <v:textbox inset=",1mm,,1mm">
                  <w:txbxContent>
                    <w:p>
                      <w:r>
                        <w:rPr>
                          <w:bCs/>
                          <w:iCs/>
                          <w:noProof/>
                          <w:sz w:val="24"/>
                          <w:szCs w:val="24"/>
                          <w:lang w:val="de-DE" w:eastAsia="de-DE"/>
                        </w:rPr>
                        <w:drawing>
                          <wp:inline distT="0" distB="0" distL="0" distR="0">
                            <wp:extent cx="3048000" cy="13183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rotWithShape="1">
                                    <a:blip r:embed="rId15">
                                      <a:extLst>
                                        <a:ext uri="{28A0092B-C50C-407E-A947-70E740481C1C}">
                                          <a14:useLocalDpi xmlns:a14="http://schemas.microsoft.com/office/drawing/2010/main" val="0"/>
                                        </a:ext>
                                      </a:extLst>
                                    </a:blip>
                                    <a:srcRect r="32517"/>
                                    <a:stretch/>
                                  </pic:blipFill>
                                  <pic:spPr bwMode="auto">
                                    <a:xfrm>
                                      <a:off x="0" y="0"/>
                                      <a:ext cx="3063462" cy="1325062"/>
                                    </a:xfrm>
                                    <a:prstGeom prst="rect">
                                      <a:avLst/>
                                    </a:prstGeom>
                                    <a:ln>
                                      <a:noFill/>
                                    </a:ln>
                                    <a:extLst>
                                      <a:ext uri="{53640926-AAD7-44D8-BBD7-CCE9431645EC}">
                                        <a14:shadowObscured xmlns:a14="http://schemas.microsoft.com/office/drawing/2010/main"/>
                                      </a:ext>
                                    </a:extLst>
                                  </pic:spPr>
                                </pic:pic>
                              </a:graphicData>
                            </a:graphic>
                          </wp:inline>
                        </w:drawing>
                      </w:r>
                    </w:p>
                    <w:p>
                      <w:r>
                        <w:t xml:space="preserve">Fig. 1. AFM images (5 µm x 5 µm) of c-plane oriented </w:t>
                      </w:r>
                      <w:proofErr w:type="spellStart"/>
                      <w:r>
                        <w:t>AlN</w:t>
                      </w:r>
                      <w:proofErr w:type="spellEnd"/>
                      <w:r>
                        <w:t>/sapphire templates with TDD of: a) 4 x 10</w:t>
                      </w:r>
                      <w:r>
                        <w:rPr>
                          <w:vertAlign w:val="superscript"/>
                        </w:rPr>
                        <w:t>9</w:t>
                      </w:r>
                      <w:r>
                        <w:t xml:space="preserve"> cm</w:t>
                      </w:r>
                      <w:r>
                        <w:rPr>
                          <w:vertAlign w:val="superscript"/>
                        </w:rPr>
                        <w:t>-2</w:t>
                      </w:r>
                      <w:r>
                        <w:t xml:space="preserve"> on sapphire with 0.2° off-cut to m-plane; b) 3 x 10</w:t>
                      </w:r>
                      <w:r>
                        <w:rPr>
                          <w:vertAlign w:val="superscript"/>
                        </w:rPr>
                        <w:t>9</w:t>
                      </w:r>
                      <w:r>
                        <w:t xml:space="preserve"> cm</w:t>
                      </w:r>
                      <w:r>
                        <w:rPr>
                          <w:vertAlign w:val="superscript"/>
                        </w:rPr>
                        <w:t>-2</w:t>
                      </w:r>
                      <w:r>
                        <w:t xml:space="preserve"> on sapphire with 0.5° off to m.</w:t>
                      </w:r>
                    </w:p>
                  </w:txbxContent>
                </v:textbox>
                <w10:wrap type="square" anchorx="margin"/>
              </v:shape>
            </w:pict>
          </mc:Fallback>
        </mc:AlternateContent>
      </w:r>
      <w:r>
        <w:t xml:space="preserve">The cyan/blue lines in Fig. 2a represent observations on the template with small off-cut with the highest TDD and a smooth surface of Fig. 1a. During growth of the </w:t>
      </w:r>
      <w:proofErr w:type="spellStart"/>
      <w:r>
        <w:t>AlN</w:t>
      </w:r>
      <w:proofErr w:type="spellEnd"/>
      <w:r>
        <w:t xml:space="preserve">/GaN superlattice, curvature increases atypically (blue graph, upper Fig. 2a), i.e. tensile stress is induced during the growth of this layer, although the GaN layers of the SL introduce compressive strain into the structure and should therefore lead to a decrease in curvature. The relaxation degree of the SL determined ex-situ from RSM was 18 %, which should lead to a smaller curvature slope, but not introduce tensile </w:t>
      </w:r>
      <w:r>
        <w:t xml:space="preserve">strain. This unusual observation shows that the effective lattice constant of the </w:t>
      </w:r>
      <w:proofErr w:type="spellStart"/>
      <w:r>
        <w:t>AlN</w:t>
      </w:r>
      <w:proofErr w:type="spellEnd"/>
      <w:r>
        <w:t xml:space="preserve">/sapphire </w:t>
      </w:r>
      <w:proofErr w:type="spellStart"/>
      <w:r>
        <w:t>pseudosubstrates</w:t>
      </w:r>
      <w:proofErr w:type="spellEnd"/>
      <w:r>
        <w:t xml:space="preserve"> [17] is larger than constant of the SL with an average Al-content x of 0.95. The “normal” case is slightly compressive growth of the SL as observed for the other samples (red, Fig. 2b). The </w:t>
      </w:r>
      <w:proofErr w:type="spellStart"/>
      <w:r>
        <w:t>AlN</w:t>
      </w:r>
      <w:proofErr w:type="spellEnd"/>
      <w:r>
        <w:t>/GaN SL is followed by an Al</w:t>
      </w:r>
      <w:r>
        <w:rPr>
          <w:vertAlign w:val="subscript"/>
        </w:rPr>
        <w:t>0.75</w:t>
      </w:r>
      <w:r>
        <w:t>Ga</w:t>
      </w:r>
      <w:r>
        <w:rPr>
          <w:vertAlign w:val="subscript"/>
        </w:rPr>
        <w:t>0.25</w:t>
      </w:r>
      <w:r>
        <w:t xml:space="preserve">N layer, where the curvature decreases linearly for the sample with a smaller off-cut as expected for the </w:t>
      </w:r>
      <w:proofErr w:type="spellStart"/>
      <w:r>
        <w:t>pseudomorphic</w:t>
      </w:r>
      <w:proofErr w:type="spellEnd"/>
      <w:r>
        <w:t xml:space="preserve"> growth of </w:t>
      </w:r>
      <w:proofErr w:type="spellStart"/>
      <w:r>
        <w:t>AlGaN</w:t>
      </w:r>
      <w:proofErr w:type="spellEnd"/>
      <w:r>
        <w:t xml:space="preserve"> with a constant Al mole fraction. For the sample with 0.5° off-cut (red graph, Fig. 2 b) the negative slope of the curvature gets smaller, an indication of starting relaxation. In the following thick Al</w:t>
      </w:r>
      <w:r>
        <w:rPr>
          <w:vertAlign w:val="subscript"/>
        </w:rPr>
        <w:t>x</w:t>
      </w:r>
      <w:r>
        <w:t>Ga</w:t>
      </w:r>
      <w:r>
        <w:rPr>
          <w:vertAlign w:val="subscript"/>
        </w:rPr>
        <w:t>1-x</w:t>
      </w:r>
      <w:r>
        <w:t xml:space="preserve">N the Al-content is linearly graded from x = 0.75 to 0.5 by reducing the growth temperature (orange). This reduces the loss of Ga due to desorption and thus the Al mole fraction. The curvature decreases further nearly linearly, i.e. the slope stays nearly constant. The compositional grading of the Al-content in the </w:t>
      </w:r>
      <w:proofErr w:type="spellStart"/>
      <w:r>
        <w:t>AlGaN</w:t>
      </w:r>
      <w:proofErr w:type="spellEnd"/>
      <w:r>
        <w:t xml:space="preserve"> layer should produce constant negative increase of the slope; reduction of the growth temperature should act similarly. The observed constant slope for the sample with the smaller off-cut shows that during growth of the graded </w:t>
      </w:r>
      <w:proofErr w:type="spellStart"/>
      <w:r>
        <w:t>AlGaN</w:t>
      </w:r>
      <w:proofErr w:type="spellEnd"/>
      <w:r>
        <w:t xml:space="preserve">, a nearly linear strain relaxation occurs, which compensates the increasing compressive strain due to the compositional grading and the reduced growth temperature. Cross-sectional ADF STEM images of the first layers of the UVB LED structure (Fig. 3) obtained in both [11-20] and [1-100] </w:t>
      </w:r>
      <w:proofErr w:type="spellStart"/>
      <w:r>
        <w:t>AlN</w:t>
      </w:r>
      <w:proofErr w:type="spellEnd"/>
      <w:r>
        <w:t xml:space="preserve"> viewing directions showing all dislocation types formed in the sample reveal, that at the homoepitaxial </w:t>
      </w:r>
      <w:proofErr w:type="spellStart"/>
      <w:r>
        <w:t>AlN</w:t>
      </w:r>
      <w:proofErr w:type="spellEnd"/>
      <w:r>
        <w:t>/</w:t>
      </w:r>
      <w:proofErr w:type="spellStart"/>
      <w:r>
        <w:t>AlN</w:t>
      </w:r>
      <w:proofErr w:type="spellEnd"/>
      <w:r>
        <w:t xml:space="preserve"> interface and in the </w:t>
      </w:r>
      <w:proofErr w:type="spellStart"/>
      <w:r>
        <w:t>AlN</w:t>
      </w:r>
      <w:proofErr w:type="spellEnd"/>
      <w:r>
        <w:t xml:space="preserve">/GaN superlattice a remarkable part of the vertical threading dislocation lines coming from the </w:t>
      </w:r>
      <w:proofErr w:type="spellStart"/>
      <w:r>
        <w:t>AlN</w:t>
      </w:r>
      <w:proofErr w:type="spellEnd"/>
      <w:r>
        <w:t xml:space="preserve"> template show a kink and appear slightly inclined. When the local TDD is high, this inclination becomes enough to achieve dislocation annihilation as visible in Fig. 3a (see the arrows). The dislocation inclination in the Al</w:t>
      </w:r>
      <w:r>
        <w:rPr>
          <w:vertAlign w:val="subscript"/>
        </w:rPr>
        <w:t>0.75</w:t>
      </w:r>
      <w:r>
        <w:t>Ga</w:t>
      </w:r>
      <w:r>
        <w:rPr>
          <w:vertAlign w:val="subscript"/>
        </w:rPr>
        <w:t>0.25</w:t>
      </w:r>
      <w:r>
        <w:t xml:space="preserve">N buffer layer is strong enough to explain the measured relaxation of the compressive strain during </w:t>
      </w:r>
      <w:proofErr w:type="spellStart"/>
      <w:r>
        <w:t>AlGaN</w:t>
      </w:r>
      <w:proofErr w:type="spellEnd"/>
      <w:r>
        <w:t xml:space="preserve"> growth [18]. During the growth of the active region and the p-side, the curvature decreases further with a small negative slope because of the slow growth rates and the lower Al mole fractions in comparison to the (partially) relaxed Al</w:t>
      </w:r>
      <w:r>
        <w:rPr>
          <w:vertAlign w:val="subscript"/>
        </w:rPr>
        <w:t>0.5</w:t>
      </w:r>
      <w:r>
        <w:t>Ga</w:t>
      </w:r>
      <w:r>
        <w:rPr>
          <w:vertAlign w:val="subscript"/>
        </w:rPr>
        <w:t>0.5</w:t>
      </w:r>
      <w:r>
        <w:t>N underlayer. R</w:t>
      </w:r>
      <w:r>
        <w:rPr>
          <w:vertAlign w:val="subscript"/>
        </w:rPr>
        <w:t>280</w:t>
      </w:r>
      <w:r>
        <w:t xml:space="preserve"> of the sample (cyan, Fig. 2a) does not show any significant roughening during the growth of the </w:t>
      </w:r>
      <w:proofErr w:type="spellStart"/>
      <w:r>
        <w:t>AlGaN</w:t>
      </w:r>
      <w:proofErr w:type="spellEnd"/>
      <w:r>
        <w:t xml:space="preserve"> buffer or of the non-</w:t>
      </w:r>
      <w:proofErr w:type="spellStart"/>
      <w:r>
        <w:t>pseudomorphic</w:t>
      </w:r>
      <w:proofErr w:type="spellEnd"/>
      <w:r>
        <w:t xml:space="preserve"> n-contact layer and the p-side. In contrast, the slope of the curvature of the sample on the </w:t>
      </w:r>
      <w:proofErr w:type="spellStart"/>
      <w:r>
        <w:t>AlN</w:t>
      </w:r>
      <w:proofErr w:type="spellEnd"/>
      <w:r>
        <w:t xml:space="preserve"> template with the 0.5° off-cut (red graph, Fig. 2 b) goes nearly to zero at the beginning of the compositional grading and only after that continues with its constant</w:t>
      </w:r>
    </w:p>
    <w:p>
      <w:pPr>
        <w:pStyle w:val="BodyText2"/>
        <w:tabs>
          <w:tab w:val="left" w:pos="270"/>
        </w:tabs>
      </w:pPr>
      <w:r>
        <w:rPr>
          <w:noProof/>
          <w:lang w:val="de-DE" w:eastAsia="de-DE"/>
        </w:rPr>
        <w:lastRenderedPageBreak/>
        <mc:AlternateContent>
          <mc:Choice Requires="wps">
            <w:drawing>
              <wp:anchor distT="0" distB="0" distL="114300" distR="114300" simplePos="0" relativeHeight="251663360" behindDoc="0" locked="0" layoutInCell="1" allowOverlap="1">
                <wp:simplePos x="0" y="0"/>
                <wp:positionH relativeFrom="margin">
                  <wp:posOffset>-17145</wp:posOffset>
                </wp:positionH>
                <wp:positionV relativeFrom="paragraph">
                  <wp:posOffset>-109220</wp:posOffset>
                </wp:positionV>
                <wp:extent cx="6504305" cy="2832735"/>
                <wp:effectExtent l="0" t="0" r="10795" b="247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2832735"/>
                        </a:xfrm>
                        <a:prstGeom prst="rect">
                          <a:avLst/>
                        </a:prstGeom>
                        <a:solidFill>
                          <a:srgbClr val="FFFFFF"/>
                        </a:solidFill>
                        <a:ln w="9525">
                          <a:solidFill>
                            <a:srgbClr val="000000"/>
                          </a:solidFill>
                          <a:miter lim="800000"/>
                          <a:headEnd/>
                          <a:tailEnd/>
                        </a:ln>
                      </wps:spPr>
                      <wps:txbx>
                        <w:txbxContent>
                          <w:p/>
                          <w:p>
                            <w:r>
                              <w:rPr>
                                <w:snapToGrid w:val="0"/>
                                <w:color w:val="000000"/>
                                <w:w w:val="0"/>
                                <w:sz w:val="0"/>
                                <w:szCs w:val="0"/>
                                <w:u w:color="000000"/>
                                <w:bdr w:val="none" w:sz="0" w:space="0" w:color="000000"/>
                                <w:shd w:val="clear" w:color="000000" w:fill="000000"/>
                                <w:lang w:val="x-none" w:eastAsia="x-none" w:bidi="x-none"/>
                              </w:rPr>
                              <w:t xml:space="preserve"> </w:t>
                            </w:r>
                            <w: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65pt;height:169.9pt">
                                  <v:imagedata r:id="rId16" o:title=""/>
                                </v:shape>
                                <o:OLEObject Type="Embed" ProgID="Origin50.Graph" ShapeID="_x0000_i1026" DrawAspect="Content" ObjectID="_1644744442" r:id="rId17"/>
                              </w:object>
                            </w:r>
                            <w:r>
                              <w:rPr>
                                <w:snapToGrid w:val="0"/>
                                <w:color w:val="000000"/>
                                <w:w w:val="0"/>
                                <w:sz w:val="0"/>
                                <w:szCs w:val="0"/>
                                <w:u w:color="000000"/>
                                <w:bdr w:val="none" w:sz="0" w:space="0" w:color="000000"/>
                                <w:shd w:val="clear" w:color="000000" w:fill="000000"/>
                                <w:lang w:val="x-none" w:eastAsia="x-none" w:bidi="x-none"/>
                              </w:rPr>
                              <w:t xml:space="preserve"> </w:t>
                            </w:r>
                            <w:r>
                              <w:rPr>
                                <w:noProof/>
                                <w:lang w:eastAsia="de-DE"/>
                              </w:rPr>
                              <w:t xml:space="preserve">  </w:t>
                            </w:r>
                            <w:r>
                              <w:object w:dxaOrig="6542" w:dyaOrig="4569">
                                <v:shape id="_x0000_i1028" type="#_x0000_t75" style="width:245.4pt;height:170.5pt">
                                  <v:imagedata r:id="rId18" o:title=""/>
                                </v:shape>
                                <o:OLEObject Type="Embed" ProgID="Origin50.Graph" ShapeID="_x0000_i1028" DrawAspect="Content" ObjectID="_1644744443" r:id="rId19"/>
                              </w:object>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t xml:space="preserve">Fig. 2 In situ data of MOVPE-growth of an UVB LED structure on </w:t>
                            </w:r>
                            <w:proofErr w:type="spellStart"/>
                            <w:r>
                              <w:t>AlN</w:t>
                            </w:r>
                            <w:proofErr w:type="spellEnd"/>
                            <w:r>
                              <w:t xml:space="preserve"> with: a, left) TDD ~ 4 x 10</w:t>
                            </w:r>
                            <w:r>
                              <w:rPr>
                                <w:vertAlign w:val="superscript"/>
                              </w:rPr>
                              <w:t>9</w:t>
                            </w:r>
                            <w:r>
                              <w:t xml:space="preserve"> cm</w:t>
                            </w:r>
                            <w:r>
                              <w:rPr>
                                <w:vertAlign w:val="superscript"/>
                              </w:rPr>
                              <w:t>-2</w:t>
                            </w:r>
                            <w:r>
                              <w:t>, off-cut: 0.2° to m; b) TDD ~ 3 x 10</w:t>
                            </w:r>
                            <w:r>
                              <w:rPr>
                                <w:vertAlign w:val="superscript"/>
                              </w:rPr>
                              <w:t>9</w:t>
                            </w:r>
                            <w:r>
                              <w:t xml:space="preserve"> cm</w:t>
                            </w:r>
                            <w:r>
                              <w:rPr>
                                <w:vertAlign w:val="superscript"/>
                              </w:rPr>
                              <w:t>-2</w:t>
                            </w:r>
                            <w:r>
                              <w:t>, 0.5° off-cut. Left side: curvature; Right side: R</w:t>
                            </w:r>
                            <w:r>
                              <w:rPr>
                                <w:vertAlign w:val="subscript"/>
                              </w:rPr>
                              <w:t>633</w:t>
                            </w:r>
                            <w:r>
                              <w:t xml:space="preserve"> and R</w:t>
                            </w:r>
                            <w:r>
                              <w:rPr>
                                <w:vertAlign w:val="subscript"/>
                              </w:rPr>
                              <w:t>280</w:t>
                            </w:r>
                            <w:r>
                              <w:t xml:space="preserve"> and growth temperature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8.6pt;width:512.15pt;height:22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IhJwIAAEwEAAAOAAAAZHJzL2Uyb0RvYy54bWysVNtu2zAMfR+wfxD0vthxkjY14hRdugwD&#10;ugvQ7gNkWY6FSaImKbG7ry8lp2l2exnmB0EUqaPDQ9Kr60ErchDOSzAVnU5ySoTh0Eizq+jXh+2b&#10;JSU+MNMwBUZU9FF4er1+/WrV21IU0IFqhCMIYnzZ24p2IdgyyzzvhGZ+AlYYdLbgNAtoul3WONYj&#10;ulZZkecXWQ+usQ648B5Pb0cnXSf8thU8fG5bLwJRFUVuIa0urXVcs/WKlTvHbCf5kQb7BxaaSYOP&#10;nqBuWWBk7+RvUFpyBx7aMOGgM2hbyUXKAbOZ5r9kc98xK1IuKI63J5n8/4Plnw5fHJFNRWeUGKax&#10;RA9iCOQtDGQW1emtLzHo3mJYGPAYq5wy9fYO+DdPDGw6ZnbixjnoO8EaZDeNN7OzqyOOjyB1/xEa&#10;fIbtAySgoXU6SodiEETHKj2eKhOpcDy8WOTzWb6ghKOvWM6Ky9kivcHK5+vW+fBegCZxU1GHpU/w&#10;7HDnQ6TDyueQ+JoHJZutVCoZbldvlCMHhm2yTd8R/acwZUhf0atFsRgV+CtEnr4/QWgZsN+V1BVd&#10;noJYGXV7Z5rUjYFJNe6RsjJHIaN2o4phqIdUsaRyFLmG5hGVdTC2N44jbjpwPyjpsbUr6r/vmROU&#10;qA8Gq3M1nc/jLCRjvrgs0HDnnvrcwwxHqIoGSsbtJqT5iboZuMEqtjLp+8LkSBlbNsl+HK84E+d2&#10;inr5CayfAAAA//8DAFBLAwQUAAYACAAAACEAdkynIeEAAAALAQAADwAAAGRycy9kb3ducmV2Lnht&#10;bEyPwU7DMAyG70i8Q2QkLmhLW6a2K00nhASC2xgIrlnjtRWJU5KsK29PdoKTZfnT7++vN7PRbELn&#10;B0sC0mUCDKm1aqBOwPvb46IE5oMkJbUlFPCDHjbN5UUtK2VP9IrTLnQshpCvpIA+hLHi3Lc9GumX&#10;dkSKt4N1Roa4uo4rJ08x3GieJUnOjRwofujliA89tl+7oxFQrp6nT/9yu/1o84Neh5tievp2Qlxf&#10;zfd3wALO4Q+Gs35UhyY67e2RlGdawCIrIhlnWmTAzkCSpTmwvYBVVq6BNzX/36H5BQAA//8DAFBL&#10;AQItABQABgAIAAAAIQC2gziS/gAAAOEBAAATAAAAAAAAAAAAAAAAAAAAAABbQ29udGVudF9UeXBl&#10;c10ueG1sUEsBAi0AFAAGAAgAAAAhADj9If/WAAAAlAEAAAsAAAAAAAAAAAAAAAAALwEAAF9yZWxz&#10;Ly5yZWxzUEsBAi0AFAAGAAgAAAAhAM7y4iEnAgAATAQAAA4AAAAAAAAAAAAAAAAALgIAAGRycy9l&#10;Mm9Eb2MueG1sUEsBAi0AFAAGAAgAAAAhAHZMpyHhAAAACwEAAA8AAAAAAAAAAAAAAAAAgQQAAGRy&#10;cy9kb3ducmV2LnhtbFBLBQYAAAAABAAEAPMAAACPBQAAAAA=&#10;">
                <v:textbox>
                  <w:txbxContent>
                    <w:p/>
                    <w:p>
                      <w:r>
                        <w:rPr>
                          <w:snapToGrid w:val="0"/>
                          <w:color w:val="000000"/>
                          <w:w w:val="0"/>
                          <w:sz w:val="0"/>
                          <w:szCs w:val="0"/>
                          <w:u w:color="000000"/>
                          <w:bdr w:val="none" w:sz="0" w:space="0" w:color="000000"/>
                          <w:shd w:val="clear" w:color="000000" w:fill="000000"/>
                          <w:lang w:val="x-none" w:eastAsia="x-none" w:bidi="x-none"/>
                        </w:rPr>
                        <w:t xml:space="preserve"> </w:t>
                      </w:r>
                      <w:r>
                        <w:object w:dxaOrig="6542" w:dyaOrig="4569">
                          <v:shape id="_x0000_i1026" type="#_x0000_t75" style="width:243.65pt;height:169.9pt">
                            <v:imagedata r:id="rId16" o:title=""/>
                          </v:shape>
                          <o:OLEObject Type="Embed" ProgID="Origin50.Graph" ShapeID="_x0000_i1026" DrawAspect="Content" ObjectID="_1644744442" r:id="rId20"/>
                        </w:object>
                      </w:r>
                      <w:r>
                        <w:rPr>
                          <w:snapToGrid w:val="0"/>
                          <w:color w:val="000000"/>
                          <w:w w:val="0"/>
                          <w:sz w:val="0"/>
                          <w:szCs w:val="0"/>
                          <w:u w:color="000000"/>
                          <w:bdr w:val="none" w:sz="0" w:space="0" w:color="000000"/>
                          <w:shd w:val="clear" w:color="000000" w:fill="000000"/>
                          <w:lang w:val="x-none" w:eastAsia="x-none" w:bidi="x-none"/>
                        </w:rPr>
                        <w:t xml:space="preserve"> </w:t>
                      </w:r>
                      <w:r>
                        <w:rPr>
                          <w:noProof/>
                          <w:lang w:eastAsia="de-DE"/>
                        </w:rPr>
                        <w:t xml:space="preserve">  </w:t>
                      </w:r>
                      <w:r>
                        <w:object w:dxaOrig="6542" w:dyaOrig="4569">
                          <v:shape id="_x0000_i1028" type="#_x0000_t75" style="width:245.4pt;height:170.5pt">
                            <v:imagedata r:id="rId18" o:title=""/>
                          </v:shape>
                          <o:OLEObject Type="Embed" ProgID="Origin50.Graph" ShapeID="_x0000_i1028" DrawAspect="Content" ObjectID="_1644744443" r:id="rId21"/>
                        </w:object>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rPr>
                          <w:snapToGrid w:val="0"/>
                          <w:color w:val="000000"/>
                          <w:w w:val="0"/>
                          <w:sz w:val="0"/>
                          <w:szCs w:val="0"/>
                          <w:u w:color="000000"/>
                          <w:bdr w:val="none" w:sz="0" w:space="0" w:color="000000"/>
                          <w:shd w:val="clear" w:color="000000" w:fill="000000"/>
                          <w:lang w:eastAsia="x-none" w:bidi="x-none"/>
                        </w:rPr>
                        <w:br/>
                      </w:r>
                      <w:r>
                        <w:t xml:space="preserve">Fig. 2 In situ data of MOVPE-growth of an UVB LED structure on </w:t>
                      </w:r>
                      <w:proofErr w:type="spellStart"/>
                      <w:r>
                        <w:t>AlN</w:t>
                      </w:r>
                      <w:proofErr w:type="spellEnd"/>
                      <w:r>
                        <w:t xml:space="preserve"> with: a, left) TDD ~ 4 x 10</w:t>
                      </w:r>
                      <w:r>
                        <w:rPr>
                          <w:vertAlign w:val="superscript"/>
                        </w:rPr>
                        <w:t>9</w:t>
                      </w:r>
                      <w:r>
                        <w:t xml:space="preserve"> cm</w:t>
                      </w:r>
                      <w:r>
                        <w:rPr>
                          <w:vertAlign w:val="superscript"/>
                        </w:rPr>
                        <w:t>-2</w:t>
                      </w:r>
                      <w:r>
                        <w:t>, off-cut: 0.2° to m; b) TDD ~ 3 x 10</w:t>
                      </w:r>
                      <w:r>
                        <w:rPr>
                          <w:vertAlign w:val="superscript"/>
                        </w:rPr>
                        <w:t>9</w:t>
                      </w:r>
                      <w:r>
                        <w:t xml:space="preserve"> cm</w:t>
                      </w:r>
                      <w:r>
                        <w:rPr>
                          <w:vertAlign w:val="superscript"/>
                        </w:rPr>
                        <w:t>-2</w:t>
                      </w:r>
                      <w:r>
                        <w:t>, 0.5° off-cut. Left side: curvature; Right side: R</w:t>
                      </w:r>
                      <w:r>
                        <w:rPr>
                          <w:vertAlign w:val="subscript"/>
                        </w:rPr>
                        <w:t>633</w:t>
                      </w:r>
                      <w:r>
                        <w:t xml:space="preserve"> and R</w:t>
                      </w:r>
                      <w:r>
                        <w:rPr>
                          <w:vertAlign w:val="subscript"/>
                        </w:rPr>
                        <w:t>280</w:t>
                      </w:r>
                      <w:r>
                        <w:t xml:space="preserve"> and growth temperature (orange).</w:t>
                      </w:r>
                    </w:p>
                  </w:txbxContent>
                </v:textbox>
                <w10:wrap type="square" anchorx="margin"/>
              </v:shape>
            </w:pict>
          </mc:Fallback>
        </mc:AlternateContent>
      </w:r>
      <w:r>
        <w:t>negative value as before. In this case a much stronger strain relaxation occurs at the beginning of the grading in comparison to the other template. The relaxation degree of the graded layer increases from 18 % to 53 %, as determined from RSM. In the corresponding ADF STEM image (Fig. 3b) elongated, horizontal dislocation loops can be seen at the beginning of the Al</w:t>
      </w:r>
      <w:r>
        <w:rPr>
          <w:vertAlign w:val="subscript"/>
        </w:rPr>
        <w:t>0.75</w:t>
      </w:r>
      <w:r>
        <w:t>Ga</w:t>
      </w:r>
      <w:r>
        <w:rPr>
          <w:vertAlign w:val="subscript"/>
        </w:rPr>
        <w:t>0.25</w:t>
      </w:r>
      <w:r>
        <w:t>N buffer growth explaining the reduction of curvature slope at this point by strain relaxation via newly generated dislocations.</w:t>
      </w:r>
    </w:p>
    <w:p>
      <w:pPr>
        <w:pStyle w:val="BodyText2"/>
        <w:tabs>
          <w:tab w:val="left" w:pos="270"/>
        </w:tabs>
      </w:pPr>
      <w:r>
        <w:t xml:space="preserve">At the end of the growth process during cooling down the curvature decreases drastically because of the larger thermal expansion coefficient of the sapphire in comparison to that of the </w:t>
      </w:r>
      <w:proofErr w:type="spellStart"/>
      <w:r>
        <w:t>AlGaN</w:t>
      </w:r>
      <w:proofErr w:type="spellEnd"/>
      <w:r>
        <w:t xml:space="preserve"> layers, i.e. the wafer becomes strongly convexly bowed and the whole structure is compressively strained.</w:t>
      </w:r>
    </w:p>
    <w:p>
      <w:pPr>
        <w:pStyle w:val="BodyText2"/>
        <w:tabs>
          <w:tab w:val="left" w:pos="270"/>
        </w:tabs>
      </w:pPr>
      <w:r>
        <w:t>Interestingly, during the strain relaxation by the new dislocations during the Al</w:t>
      </w:r>
      <w:r>
        <w:rPr>
          <w:vertAlign w:val="subscript"/>
        </w:rPr>
        <w:t>0.75</w:t>
      </w:r>
      <w:r>
        <w:t>Ga</w:t>
      </w:r>
      <w:r>
        <w:rPr>
          <w:vertAlign w:val="subscript"/>
        </w:rPr>
        <w:t>0.25</w:t>
      </w:r>
      <w:r>
        <w:t>N buffer growth R</w:t>
      </w:r>
      <w:r>
        <w:rPr>
          <w:vertAlign w:val="subscript"/>
        </w:rPr>
        <w:t>280</w:t>
      </w:r>
      <w:r>
        <w:t xml:space="preserve"> of the sample (red, Fig. 2b) does not show significant roughening, but during the growth of the following, more compressively strained Al</w:t>
      </w:r>
      <w:r>
        <w:rPr>
          <w:vertAlign w:val="subscript"/>
        </w:rPr>
        <w:t>0.48</w:t>
      </w:r>
      <w:r>
        <w:t>Ga</w:t>
      </w:r>
      <w:r>
        <w:rPr>
          <w:vertAlign w:val="subscript"/>
        </w:rPr>
        <w:t>0.52</w:t>
      </w:r>
      <w:r>
        <w:t>N R</w:t>
      </w:r>
      <w:r>
        <w:rPr>
          <w:vertAlign w:val="subscript"/>
        </w:rPr>
        <w:t>280</w:t>
      </w:r>
      <w:r>
        <w:t xml:space="preserve"> decreases strongly. This cannot be seen in the </w:t>
      </w:r>
      <w:proofErr w:type="spellStart"/>
      <w:r>
        <w:t>reflectivities</w:t>
      </w:r>
      <w:proofErr w:type="spellEnd"/>
      <w:r>
        <w:t xml:space="preserve"> at longer wavelengths due to lacking surface sensitivity. Obviously, the strain relaxation by dislocation inclination is not sufficient to relax the additional compressive strain under the used growth conditions (low growth temperature) and relatively low dislocation density (~ 1 x 10</w:t>
      </w:r>
      <w:r>
        <w:rPr>
          <w:vertAlign w:val="superscript"/>
        </w:rPr>
        <w:t>9</w:t>
      </w:r>
      <w:r>
        <w:t xml:space="preserve"> cm</w:t>
      </w:r>
      <w:r>
        <w:rPr>
          <w:vertAlign w:val="superscript"/>
        </w:rPr>
        <w:t>-2</w:t>
      </w:r>
      <w:r>
        <w:t>). Thus surface roughening as an additional relaxation mechanism sets in.</w:t>
      </w:r>
    </w:p>
    <w:p>
      <w:pPr>
        <w:pStyle w:val="Heading3"/>
        <w:tabs>
          <w:tab w:val="left" w:pos="270"/>
          <w:tab w:val="left" w:pos="450"/>
        </w:tabs>
        <w:rPr>
          <w:i w:val="0"/>
        </w:rPr>
      </w:pPr>
    </w:p>
    <w:p>
      <w:pPr>
        <w:pStyle w:val="Heading2"/>
      </w:pPr>
      <w:r>
        <w:t>Conclusion</w:t>
      </w:r>
    </w:p>
    <w:p/>
    <w:p>
      <w:pPr>
        <w:tabs>
          <w:tab w:val="left" w:pos="270"/>
        </w:tabs>
        <w:jc w:val="both"/>
      </w:pPr>
      <w:r>
        <w:tab/>
        <w:t>This work has demonstrated the applicability of in situ curvature measurements combined with reflectance measurement in the UV for monitoring and optimization of non-</w:t>
      </w:r>
      <w:proofErr w:type="spellStart"/>
      <w:r>
        <w:t>pseudomorphic</w:t>
      </w:r>
      <w:proofErr w:type="spellEnd"/>
      <w:r>
        <w:t xml:space="preserve"> </w:t>
      </w:r>
      <w:proofErr w:type="spellStart"/>
      <w:r>
        <w:t>AlGaN</w:t>
      </w:r>
      <w:proofErr w:type="spellEnd"/>
      <w:r>
        <w:t xml:space="preserve"> growth. The usefulness of more surface-sensitive reflectance measurements at shorter wavelengths than traditionally applied (405 nm, 630 nm, and 950 nm) with a reflectometer working at 280 nm was demonstrated. </w:t>
      </w:r>
    </w:p>
    <w:p>
      <w:pPr>
        <w:tabs>
          <w:tab w:val="left" w:pos="270"/>
        </w:tabs>
        <w:jc w:val="both"/>
      </w:pPr>
      <w:r>
        <w:t xml:space="preserve">The in situ data and TEM investigations show that for the growth of strongly compressively strained </w:t>
      </w:r>
      <w:proofErr w:type="spellStart"/>
      <w:r>
        <w:t>AlGaN</w:t>
      </w:r>
      <w:proofErr w:type="spellEnd"/>
      <w:r>
        <w:t xml:space="preserve"> layers for UVB LED structures on </w:t>
      </w:r>
      <w:proofErr w:type="spellStart"/>
      <w:r>
        <w:t>AlN</w:t>
      </w:r>
      <w:proofErr w:type="spellEnd"/>
      <w:r>
        <w:t xml:space="preserve"> templates the strain relaxation mechanisms will be strongly influenced by the absolute values of TDD and of the lattice constant of the </w:t>
      </w:r>
      <w:proofErr w:type="spellStart"/>
      <w:r>
        <w:t>AlN</w:t>
      </w:r>
      <w:proofErr w:type="spellEnd"/>
      <w:r>
        <w:t xml:space="preserve">/sapphire </w:t>
      </w:r>
      <w:proofErr w:type="spellStart"/>
      <w:r>
        <w:t>pseudosubstrates</w:t>
      </w:r>
      <w:proofErr w:type="spellEnd"/>
      <w:r>
        <w:t xml:space="preserve">. </w:t>
      </w:r>
    </w:p>
    <w:p>
      <w:pPr>
        <w:tabs>
          <w:tab w:val="left" w:pos="270"/>
        </w:tabs>
        <w:jc w:val="both"/>
      </w:pPr>
      <w:r>
        <w:t>Already small differences in TDD can lead to very different behavior during the growth of (</w:t>
      </w:r>
      <w:proofErr w:type="spellStart"/>
      <w:r>
        <w:t>Al,Ga</w:t>
      </w:r>
      <w:proofErr w:type="spellEnd"/>
      <w:r>
        <w:t xml:space="preserve">)N layer structures for UVB LEDs. </w:t>
      </w:r>
    </w:p>
    <w:p>
      <w:pPr>
        <w:pStyle w:val="Heading3"/>
        <w:tabs>
          <w:tab w:val="left" w:pos="270"/>
          <w:tab w:val="left" w:pos="450"/>
        </w:tabs>
        <w:rPr>
          <w:i w:val="0"/>
        </w:rPr>
      </w:pPr>
    </w:p>
    <w:p>
      <w:pPr>
        <w:pStyle w:val="Heading2"/>
      </w:pPr>
      <w:r>
        <w:t>Acknowledgements</w:t>
      </w:r>
    </w:p>
    <w:p/>
    <w:p>
      <w:pPr>
        <w:tabs>
          <w:tab w:val="left" w:pos="270"/>
        </w:tabs>
        <w:jc w:val="both"/>
      </w:pPr>
      <w:r>
        <w:tab/>
        <w:t xml:space="preserve">The authors would like to thank C. Neumann for technical assistance with the MOVPE tool, H. </w:t>
      </w:r>
      <w:proofErr w:type="spellStart"/>
      <w:r>
        <w:t>Lawrenz</w:t>
      </w:r>
      <w:proofErr w:type="spellEnd"/>
      <w:r>
        <w:t xml:space="preserve"> for cathodoluminescence and J. Enslin for AFM measurements. This study was partially supported by German Federal Ministry of Education and Research (BMBF) through consortia project "Advanced UV for Life" under contracts 03ZZ0130A, 03ZZ0134C, 03ZZ0130B, 03ZZ0134B; and Deutsche </w:t>
      </w:r>
      <w:proofErr w:type="spellStart"/>
      <w:r>
        <w:t>Forschungsgemeinschaft</w:t>
      </w:r>
      <w:proofErr w:type="spellEnd"/>
      <w:r>
        <w:t xml:space="preserve"> (DFG) within the Collaborative Research Center "Semiconductor </w:t>
      </w:r>
      <w:proofErr w:type="spellStart"/>
      <w:r>
        <w:t>Nanophotonics</w:t>
      </w:r>
      <w:proofErr w:type="spellEnd"/>
      <w:r>
        <w:t>" (SFB 787).</w:t>
      </w:r>
    </w:p>
    <w:p>
      <w:pPr>
        <w:tabs>
          <w:tab w:val="left" w:pos="270"/>
        </w:tabs>
        <w:jc w:val="both"/>
      </w:pPr>
    </w:p>
    <w:p>
      <w:pPr>
        <w:pStyle w:val="Heading2"/>
      </w:pPr>
      <w:r>
        <w:rPr>
          <w:noProof/>
          <w:lang w:val="de-DE" w:eastAsia="de-DE"/>
        </w:rPr>
        <w:lastRenderedPageBreak/>
        <mc:AlternateContent>
          <mc:Choice Requires="wps">
            <w:drawing>
              <wp:anchor distT="0" distB="0" distL="114300" distR="114300" simplePos="0" relativeHeight="251670528" behindDoc="0" locked="0" layoutInCell="1" allowOverlap="1">
                <wp:simplePos x="0" y="0"/>
                <wp:positionH relativeFrom="column">
                  <wp:posOffset>4465320</wp:posOffset>
                </wp:positionH>
                <wp:positionV relativeFrom="paragraph">
                  <wp:posOffset>1451610</wp:posOffset>
                </wp:positionV>
                <wp:extent cx="624840" cy="23622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624840" cy="236220"/>
                        </a:xfrm>
                        <a:prstGeom prst="rect">
                          <a:avLst/>
                        </a:prstGeom>
                        <a:noFill/>
                        <a:ln w="6350">
                          <a:no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pPr>
                              <w:rPr>
                                <w:b/>
                                <w:lang w:val="de-DE"/>
                              </w:rPr>
                            </w:pPr>
                            <w:r>
                              <w:rPr>
                                <w:b/>
                                <w:lang w:val="de-DE"/>
                              </w:rPr>
                              <w:t xml:space="preserve">200 </w:t>
                            </w:r>
                            <w:proofErr w:type="spellStart"/>
                            <w:r>
                              <w:rPr>
                                <w:b/>
                                <w:lang w:val="de-DE"/>
                              </w:rPr>
                              <w:t>nm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28" type="#_x0000_t202" style="position:absolute;margin-left:351.6pt;margin-top:114.3pt;width:49.2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nW0QIAAA8GAAAOAAAAZHJzL2Uyb0RvYy54bWysVFtP2zAUfp+0/2D5fSQtLWMVKepATJMQ&#10;IMrEs+vYTTTHzmy3Sffr99m5ULa9MK0P6fG5n+9cLi7bSpG9sK40OqOTk5QSobnJS73N6Lenmw/n&#10;lDjPdM6U0SKjB+Ho5fL9u4umXoipKYzKhSVwot2iqTNaeF8vksTxQlTMnZhaaAilsRXzeNptklvW&#10;wHulkmmaniWNsXltDRfOgXvdCeky+pdScH8vpROeqIwiNx+/Nn434ZssL9hia1ldlLxPg/1DFhUr&#10;NYKOrq6ZZ2Rnyz9cVSW3xhnpT7ipEiNlyUWsAdVM0t+qWResFrEWgOPqESb3/9zyu/2DJWWe0emE&#10;Es0q9OhJtF4KlROwgE9TuwXU1jUUffvZtOjzwHdghrJbaavwj4II5ED6MKILb4SDeTadnc8g4RBN&#10;T8+m04h+8mJcW+e/CFORQGTUonkRU7a/dR6JQHVQCbG0uSmVig1UmjQIcDpPo8EogYXSQVfEUYCb&#10;mOTOC7su8oZs1M4+MhQ/T89TpJaXIfD4wJzMZ2n4UcLUFgPOvaXEGv9c+iJ2J1QZfDq73VwpS/Ys&#10;DFpnE/hM1QXruQE0ZNSrRtoMqcTXUZZJQL1DN1L+oETwp/SjkOhXBDkGDpsixtCMc6F97E8sHtpB&#10;SwKptxj2+sG0S+otxqNFjGy0H42rUhvb4fU67fz7kLLs9IHHUd2B9O2m7QZ1GL6NyQ+YSbQjdIG4&#10;mt+UmJxb5vwDs1hjMHGa/D0+UhlMiOkpSgpjf/6NH/SxXZBS0uAsZNT92DErKFFfNfbu02QWZtjH&#10;x2z+EUNM7LFkcyzRu+rKYCCwWsgukkHfq4GU1lTPuGCrEBUipjliZ9QP5JXvjhUuIBerVVTC5aiZ&#10;v9XrmgfXAeWwF0/tM7N1vzweW3dnhgOCOXy9Q51usNRmtfNGlnHBAs4dqj3+uDpxMvsLGc7a8Ttq&#10;vdzx5S8AAAD//wMAUEsDBBQABgAIAAAAIQCvBLAh4AAAAAsBAAAPAAAAZHJzL2Rvd25yZXYueG1s&#10;TI/LTsMwEEX3SPyDNUjsqN0g0ijEqVAREitQy0NduvEQR43HUey2KV/PsILdPI7unKmWk+/FEcfY&#10;BdIwnykQSE2wHbUa3t+ebgoQMRmypg+EGs4YYVlfXlSmtOFEazxuUis4hGJpNLiUhlLK2Dj0Js7C&#10;gMS7rzB6k7gdW2lHc+Jw38tMqVx60xFfcGbAlcNmvzl4DY/nj0+3+Jby2b6osM3229X6NWh9fTU9&#10;3INIOKU/GH71WR1qdtqFA9koeg0LdZsxqiHLihwEE4Wac7HjSX5XgKwr+f+H+gcAAP//AwBQSwEC&#10;LQAUAAYACAAAACEAtoM4kv4AAADhAQAAEwAAAAAAAAAAAAAAAAAAAAAAW0NvbnRlbnRfVHlwZXNd&#10;LnhtbFBLAQItABQABgAIAAAAIQA4/SH/1gAAAJQBAAALAAAAAAAAAAAAAAAAAC8BAABfcmVscy8u&#10;cmVsc1BLAQItABQABgAIAAAAIQDS84nW0QIAAA8GAAAOAAAAAAAAAAAAAAAAAC4CAABkcnMvZTJv&#10;RG9jLnhtbFBLAQItABQABgAIAAAAIQCvBLAh4AAAAAsBAAAPAAAAAAAAAAAAAAAAACsFAABkcnMv&#10;ZG93bnJldi54bWxQSwUGAAAAAAQABADzAAAAOAYAAAAA&#10;" filled="f" stroked="f" strokeweight=".5pt">
                <v:shadow on="t" color="black" opacity="0" offset="0,4pt"/>
                <v:textbox>
                  <w:txbxContent>
                    <w:p>
                      <w:pPr>
                        <w:rPr>
                          <w:b/>
                          <w:lang w:val="de-DE"/>
                        </w:rPr>
                      </w:pPr>
                      <w:r>
                        <w:rPr>
                          <w:b/>
                          <w:lang w:val="de-DE"/>
                        </w:rPr>
                        <w:t xml:space="preserve">200 </w:t>
                      </w:r>
                      <w:proofErr w:type="spellStart"/>
                      <w:r>
                        <w:rPr>
                          <w:b/>
                          <w:lang w:val="de-DE"/>
                        </w:rPr>
                        <w:t>nm</w:t>
                      </w:r>
                      <w:proofErr w:type="spellEnd"/>
                    </w:p>
                  </w:txbxContent>
                </v:textbox>
              </v:shape>
            </w:pict>
          </mc:Fallback>
        </mc:AlternateContent>
      </w:r>
      <w:r>
        <w:rPr>
          <w:noProof/>
          <w:lang w:val="de-DE" w:eastAsia="de-DE"/>
        </w:rPr>
        <mc:AlternateContent>
          <mc:Choice Requires="wps">
            <w:drawing>
              <wp:anchor distT="0" distB="0" distL="114300" distR="114300" simplePos="0" relativeHeight="251669504" behindDoc="0" locked="0" layoutInCell="1" allowOverlap="1">
                <wp:simplePos x="0" y="0"/>
                <wp:positionH relativeFrom="column">
                  <wp:posOffset>4579620</wp:posOffset>
                </wp:positionH>
                <wp:positionV relativeFrom="paragraph">
                  <wp:posOffset>1649730</wp:posOffset>
                </wp:positionV>
                <wp:extent cx="335280" cy="0"/>
                <wp:effectExtent l="38100" t="38100" r="64770" b="95250"/>
                <wp:wrapNone/>
                <wp:docPr id="20" name="Gerade Verbindung 20"/>
                <wp:cNvGraphicFramePr/>
                <a:graphic xmlns:a="http://schemas.openxmlformats.org/drawingml/2006/main">
                  <a:graphicData uri="http://schemas.microsoft.com/office/word/2010/wordprocessingShape">
                    <wps:wsp>
                      <wps:cNvCnPr/>
                      <wps:spPr>
                        <a:xfrm>
                          <a:off x="0" y="0"/>
                          <a:ext cx="3352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Gerade Verbindung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0.6pt,129.9pt" to="387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e+tgEAALcDAAAOAAAAZHJzL2Uyb0RvYy54bWysU01v2zAMvQ/YfxB0X+y42FAYcXposV6G&#10;LdjXXZGoWJi+QKmx8+9HKYk7bEMPwy60KL5H8lH05m52lh0Bkwl+4OtVyxl4GZTxh4F/+/r+zS1n&#10;KQuvhA0eBn6CxO+2r19tpthDF8ZgFSCjJD71Uxz4mHPsmybJEZxIqxDBU1AHdCKTi4dGoZgou7NN&#10;17bvmimgihgkpES3D+cg39b8WoPMn7ROkJkdOPWWq8Vq98U2243oDyjiaOSlDfEPXThhPBVdUj2I&#10;LNgTmj9SOSMxpKDzSgbXBK2NhKqB1Kzb39R8GUWEqoWGk+IypvT/0sqPxx0yowbe0Xi8cPRGj4BC&#10;AfsOuDdePfkDoxgNaoqpJ/y93+HFS3GHRfWs0ZUv6WFzHe5pGS7MmUm6vLl5291SDXkNNc+8iCk/&#10;QnCsHAZujS+yRS+OH1KmWgS9QsgpfZwr11M+WShg6z+DJilUq6vsukRwb5EdBT2/+rEuKihXRRaK&#10;NtYupPZl0gVbaFAXayGuXyYu6Fox+LwQnfEB/0bO87VVfcZfVZ+1Ftn7oE71Heo4aDuqsssml/X7&#10;1a/05/9t+xMAAP//AwBQSwMEFAAGAAgAAAAhALReOnPdAAAACwEAAA8AAABkcnMvZG93bnJldi54&#10;bWxMj8FKxDAQhu+C7xBG8CJuusW1a226iOhB2Muu4nm2iUmxmZQmu41v7wiCHmfm45/vbzbZD+Jk&#10;ptgHUrBcFCAMdUH3ZBW8vT5fr0HEhKRxCGQUfJkIm/b8rMFah5l25rRPVnAIxRoVuJTGWsrYOeMx&#10;LsJoiG8fYfKYeJys1BPOHO4HWRbFrfTYE39wOJpHZ7rP/dEr6LLMV+5J29lWL3qLcf0uV1ulLi/y&#10;wz2IZHL6g+FHn9WhZadDOJKOYlBQlcuSUQXl6o47MFFVN9zu8LuRbSP/d2i/AQAA//8DAFBLAQIt&#10;ABQABgAIAAAAIQC2gziS/gAAAOEBAAATAAAAAAAAAAAAAAAAAAAAAABbQ29udGVudF9UeXBlc10u&#10;eG1sUEsBAi0AFAAGAAgAAAAhADj9If/WAAAAlAEAAAsAAAAAAAAAAAAAAAAALwEAAF9yZWxzLy5y&#10;ZWxzUEsBAi0AFAAGAAgAAAAhAHMFB762AQAAtwMAAA4AAAAAAAAAAAAAAAAALgIAAGRycy9lMm9E&#10;b2MueG1sUEsBAi0AFAAGAAgAAAAhALReOnPdAAAACwEAAA8AAAAAAAAAAAAAAAAAEAQAAGRycy9k&#10;b3ducmV2LnhtbFBLBQYAAAAABAAEAPMAAAAaBQAAAAA=&#10;" strokecolor="black [3200]" strokeweight="2pt">
                <v:shadow on="t" color="black" opacity="24903f" origin=",.5" offset="0,.55556mm"/>
              </v:line>
            </w:pict>
          </mc:Fallback>
        </mc:AlternateContent>
      </w: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4381500</wp:posOffset>
                </wp:positionH>
                <wp:positionV relativeFrom="paragraph">
                  <wp:posOffset>438150</wp:posOffset>
                </wp:positionV>
                <wp:extent cx="160020" cy="251460"/>
                <wp:effectExtent l="57150" t="38100" r="49530" b="91440"/>
                <wp:wrapNone/>
                <wp:docPr id="19" name="Gerade Verbindung mit Pfeil 19"/>
                <wp:cNvGraphicFramePr/>
                <a:graphic xmlns:a="http://schemas.openxmlformats.org/drawingml/2006/main">
                  <a:graphicData uri="http://schemas.microsoft.com/office/word/2010/wordprocessingShape">
                    <wps:wsp>
                      <wps:cNvCnPr/>
                      <wps:spPr>
                        <a:xfrm flipV="1">
                          <a:off x="0" y="0"/>
                          <a:ext cx="160020" cy="25146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19" o:spid="_x0000_s1026" type="#_x0000_t32" style="position:absolute;margin-left:345pt;margin-top:34.5pt;width:12.6pt;height:19.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D0+QEAADcEAAAOAAAAZHJzL2Uyb0RvYy54bWysU8mO2zAMvRfoPwi+N3aCNmiNOHPIdOZS&#10;tEGXuSsSZQvVBkoTJ39fSk483Q9FL4IWvke+R2pzc7KGHQGj9q6rloumYuCEl9r1XfXl892L1xWL&#10;iTvJjXfQVWeI1c32+bPNGFpY+cEbCciIxMV2DF01pBTauo5iAMvjwgdw9Kg8Wp7oiH0tkY/Ebk29&#10;app1PXqUAb2AGOn2dnqstoVfKRDpg1IREjNdRbWlsmJZD3mttxve9sjDoMWlDP4PVViuHSWdqW55&#10;4uwR9S9UVgv00au0EN7WXiktoGggNcvmJzWfBh6gaCFzYphtiv+PVrw/7pFpSb17UzHHLfXoHpBL&#10;YA+AB+3ko+uZ1YntFWjDKIosG0NsCblze7ycYthj1n9SaJkyOjwQY3GENLJTMfw8Gw6nxARdLtdN&#10;s6K2CHpavVq+XJeG1BNNpgsY0z14y/Kmq2JCrvsh7bxz1FqPUwp+fBcTFULAKyCDjctr9EbLO21M&#10;OeS5gp1BduQ0EYd+meUQ7oeoxLV56yRL50B2cEQ/XsIyZZ3VT3rLLp0NTOk+giIrSdeqKC9D/JRM&#10;fr0mM44iM0RRWTOo+TvoEpthUAZ7Bk4m/DHbHF0yepdmoNXO4++yptO1VDXFX1VPWrPsg5fn0v1i&#10;B01nsfHyk/L4f38u8Kf/vv0GAAD//wMAUEsDBBQABgAIAAAAIQCQjUFh3QAAAAoBAAAPAAAAZHJz&#10;L2Rvd25yZXYueG1sTI/BTsMwDIbvSLxDZCRuLF0lylaaTghpl10QAyGOWeOm1RqnSrK2vD2GC9xs&#10;+dPv7692ixvEhCH2nhSsVxkIpMabnqyC97f93QZETJqMHjyhgi+MsKuvrypdGj/TK07HZAWHUCy1&#10;gi6lsZQyNh06HVd+ROJb64PTiddgpQl65nA3yDzLCul0T/yh0yM+d9icjxen4NBa+pzzj/3ZvviU&#10;bw9TSKFV6vZmeXoEkXBJfzD86LM61Ox08hcyUQwKim3GXdLvAIKBh/V9DuLEZLYpQNaV/F+h/gYA&#10;AP//AwBQSwECLQAUAAYACAAAACEAtoM4kv4AAADhAQAAEwAAAAAAAAAAAAAAAAAAAAAAW0NvbnRl&#10;bnRfVHlwZXNdLnhtbFBLAQItABQABgAIAAAAIQA4/SH/1gAAAJQBAAALAAAAAAAAAAAAAAAAAC8B&#10;AABfcmVscy8ucmVsc1BLAQItABQABgAIAAAAIQBdM4D0+QEAADcEAAAOAAAAAAAAAAAAAAAAAC4C&#10;AABkcnMvZTJvRG9jLnhtbFBLAQItABQABgAIAAAAIQCQjUFh3QAAAAoBAAAPAAAAAAAAAAAAAAAA&#10;AFMEAABkcnMvZG93bnJldi54bWxQSwUGAAAAAAQABADzAAAAXQUAAAAA&#10;" strokecolor="white [3212]" strokeweight="2pt">
                <v:stroke endarrow="open"/>
                <v:shadow on="t" color="black" opacity="24903f" origin=",.5" offset="0,.55556mm"/>
              </v:shape>
            </w:pict>
          </mc:Fallback>
        </mc:AlternateContent>
      </w:r>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2994660</wp:posOffset>
                </wp:positionH>
                <wp:positionV relativeFrom="paragraph">
                  <wp:posOffset>483870</wp:posOffset>
                </wp:positionV>
                <wp:extent cx="160020" cy="251460"/>
                <wp:effectExtent l="57150" t="38100" r="49530" b="91440"/>
                <wp:wrapNone/>
                <wp:docPr id="17" name="Gerade Verbindung mit Pfeil 17"/>
                <wp:cNvGraphicFramePr/>
                <a:graphic xmlns:a="http://schemas.openxmlformats.org/drawingml/2006/main">
                  <a:graphicData uri="http://schemas.microsoft.com/office/word/2010/wordprocessingShape">
                    <wps:wsp>
                      <wps:cNvCnPr/>
                      <wps:spPr>
                        <a:xfrm flipV="1">
                          <a:off x="0" y="0"/>
                          <a:ext cx="160020" cy="25146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Gerade Verbindung mit Pfeil 17" o:spid="_x0000_s1026" type="#_x0000_t32" style="position:absolute;margin-left:235.8pt;margin-top:38.1pt;width:12.6pt;height:19.8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df+QEAADcEAAAOAAAAZHJzL2Uyb0RvYy54bWysU8mO2zAMvRfoPwi+N3aCNi2MOHPIdOZS&#10;tEGXuSsSZQvVBkoTJ39fSk483Q9FL4IWvke+R2pzc7KGHQGj9q6rloumYuCEl9r1XfXl892LNxWL&#10;iTvJjXfQVWeI1c32+bPNGFpY+cEbCciIxMV2DF01pBTauo5iAMvjwgdw9Kg8Wp7oiH0tkY/Ebk29&#10;app1PXqUAb2AGOn2dnqstoVfKRDpg1IREjNdRbWlsmJZD3mttxve9sjDoMWlDP4PVViuHSWdqW55&#10;4uwR9S9UVgv00au0EN7WXiktoGggNcvmJzWfBh6gaCFzYphtiv+PVrw/7pFpSb17XTHHLfXoHpBL&#10;YA+AB+3ko+uZ1YntFWjDKIosG0NsCblze7ycYthj1n9SaJkyOjwQY3GENLJTMfw8Gw6nxARdLtdN&#10;s6K2CHpavVq+XJeG1BNNpgsY0z14y/Kmq2JCrvsh7bxz1FqPUwp+fBcTFULAKyCDjctr9EbLO21M&#10;OeS5gp1BduQ0EYd+meUQ7oeoxLV56yRL50B2cEQ/XsIyZZ3VT3rLLp0NTOk+giIrSdeqKC9D/JRM&#10;fr0mM44iM0RRWTOo+TvoEpthUAZ7Bk4m/DHbHF0yepdmoNXO4++yptO1VDXFX1VPWrPsg5fn0v1i&#10;B01nsfHyk/L4f38u8Kf/vv0GAAD//wMAUEsDBBQABgAIAAAAIQAhsXVD3wAAAAoBAAAPAAAAZHJz&#10;L2Rvd25yZXYueG1sTI/LTsMwEEX3SPyDNUjsqJOopG2IUyGkbrpBFIRYuvHkocbjyHaT8PcMK1iO&#10;5ujec8v9YgcxoQ+9IwXpKgGBVDvTU6vg4/3wsAURoiajB0eo4BsD7Kvbm1IXxs30htMptoJDKBRa&#10;QRfjWEgZ6g6tDis3IvGvcd7qyKdvpfF65nA7yCxJcml1T9zQ6RFfOqwvp6tVcGxa+pqzz8OlfXUx&#10;2x0nH32j1P3d8vwEIuIS/2D41Wd1qNjp7K5kghgUrDdpzqiCTZ6BYGC9y3nLmcn0cQuyKuX/CdUP&#10;AAAA//8DAFBLAQItABQABgAIAAAAIQC2gziS/gAAAOEBAAATAAAAAAAAAAAAAAAAAAAAAABbQ29u&#10;dGVudF9UeXBlc10ueG1sUEsBAi0AFAAGAAgAAAAhADj9If/WAAAAlAEAAAsAAAAAAAAAAAAAAAAA&#10;LwEAAF9yZWxzLy5yZWxzUEsBAi0AFAAGAAgAAAAhADaqR1/5AQAANwQAAA4AAAAAAAAAAAAAAAAA&#10;LgIAAGRycy9lMm9Eb2MueG1sUEsBAi0AFAAGAAgAAAAhACGxdUPfAAAACgEAAA8AAAAAAAAAAAAA&#10;AAAAUwQAAGRycy9kb3ducmV2LnhtbFBLBQYAAAAABAAEAPMAAABfBQAAAAA=&#10;" strokecolor="white [3212]" strokeweight="2pt">
                <v:stroke endarrow="open"/>
                <v:shadow on="t" color="black" opacity="24903f" origin=",.5" offset="0,.55556mm"/>
              </v:shape>
            </w:pict>
          </mc:Fallback>
        </mc:AlternateContent>
      </w:r>
      <w:r>
        <w:rPr>
          <w:noProof/>
          <w:lang w:val="de-DE" w:eastAsia="de-DE"/>
        </w:rPr>
        <mc:AlternateContent>
          <mc:Choice Requires="wps">
            <w:drawing>
              <wp:anchor distT="0" distB="0" distL="114300" distR="114300" simplePos="0" relativeHeight="251665408" behindDoc="0" locked="0" layoutInCell="1" allowOverlap="1">
                <wp:simplePos x="0" y="0"/>
                <wp:positionH relativeFrom="margin">
                  <wp:posOffset>-8890</wp:posOffset>
                </wp:positionH>
                <wp:positionV relativeFrom="paragraph">
                  <wp:posOffset>-106045</wp:posOffset>
                </wp:positionV>
                <wp:extent cx="6464935" cy="2840990"/>
                <wp:effectExtent l="0" t="0" r="12065" b="165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2840990"/>
                        </a:xfrm>
                        <a:prstGeom prst="rect">
                          <a:avLst/>
                        </a:prstGeom>
                        <a:solidFill>
                          <a:srgbClr val="FFFFFF"/>
                        </a:solidFill>
                        <a:ln w="9525">
                          <a:solidFill>
                            <a:srgbClr val="000000"/>
                          </a:solidFill>
                          <a:miter lim="800000"/>
                          <a:headEnd/>
                          <a:tailEnd/>
                        </a:ln>
                      </wps:spPr>
                      <wps:txbx>
                        <w:txbxContent>
                          <w:p>
                            <w:r>
                              <w:rPr>
                                <w:bCs/>
                                <w:iCs/>
                                <w:noProof/>
                                <w:sz w:val="24"/>
                                <w:szCs w:val="24"/>
                                <w:lang w:val="de-DE" w:eastAsia="de-DE"/>
                              </w:rPr>
                              <w:drawing>
                                <wp:inline distT="0" distB="0" distL="0" distR="0">
                                  <wp:extent cx="2529095" cy="1774371"/>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rotWithShape="1">
                                          <a:blip r:embed="rId22" cstate="print">
                                            <a:extLst>
                                              <a:ext uri="{28A0092B-C50C-407E-A947-70E740481C1C}">
                                                <a14:useLocalDpi xmlns:a14="http://schemas.microsoft.com/office/drawing/2010/main" val="0"/>
                                              </a:ext>
                                            </a:extLst>
                                          </a:blip>
                                          <a:srcRect r="41163"/>
                                          <a:stretch/>
                                        </pic:blipFill>
                                        <pic:spPr bwMode="auto">
                                          <a:xfrm>
                                            <a:off x="0" y="0"/>
                                            <a:ext cx="2551844" cy="17903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de-DE" w:eastAsia="de-DE"/>
                              </w:rPr>
                              <w:drawing>
                                <wp:inline distT="0" distB="0" distL="0" distR="0">
                                  <wp:extent cx="2674620" cy="17754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5254" b="37976"/>
                                          <a:stretch/>
                                        </pic:blipFill>
                                        <pic:spPr bwMode="auto">
                                          <a:xfrm>
                                            <a:off x="0" y="0"/>
                                            <a:ext cx="2676586" cy="1776765"/>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p>
                          <w:p>
                            <w:pPr>
                              <w:jc w:val="both"/>
                            </w:pPr>
                            <w:r>
                              <w:t xml:space="preserve">Fig. 3 ADF STEM cross-sectional images of UVB-LED structure on </w:t>
                            </w:r>
                            <w:proofErr w:type="spellStart"/>
                            <w:r>
                              <w:t>AlN</w:t>
                            </w:r>
                            <w:proofErr w:type="spellEnd"/>
                            <w:r>
                              <w:t xml:space="preserve"> template with TDD ~ 4 x10</w:t>
                            </w:r>
                            <w:r>
                              <w:rPr>
                                <w:vertAlign w:val="superscript"/>
                              </w:rPr>
                              <w:t>9</w:t>
                            </w:r>
                            <w:r>
                              <w:t xml:space="preserve"> cm</w:t>
                            </w:r>
                            <w:r>
                              <w:rPr>
                                <w:vertAlign w:val="superscript"/>
                              </w:rPr>
                              <w:t>-2</w:t>
                            </w:r>
                            <w:r>
                              <w:t xml:space="preserve">, 0.2° off-cut to m; a) TD inclination and formation of horizontal dislocation lines in </w:t>
                            </w:r>
                            <w:proofErr w:type="spellStart"/>
                            <w:r>
                              <w:t>AlN</w:t>
                            </w:r>
                            <w:proofErr w:type="spellEnd"/>
                            <w:r>
                              <w:t xml:space="preserve">/GaN superlattice (viewed in [11-20] </w:t>
                            </w:r>
                            <w:proofErr w:type="spellStart"/>
                            <w:r>
                              <w:t>AlN</w:t>
                            </w:r>
                            <w:proofErr w:type="spellEnd"/>
                            <w:r>
                              <w:t xml:space="preserve"> projection). The position of the homoepitaxial </w:t>
                            </w:r>
                            <w:proofErr w:type="spellStart"/>
                            <w:r>
                              <w:t>AlN</w:t>
                            </w:r>
                            <w:proofErr w:type="spellEnd"/>
                            <w:r>
                              <w:t>/</w:t>
                            </w:r>
                            <w:proofErr w:type="spellStart"/>
                            <w:r>
                              <w:t>AlN</w:t>
                            </w:r>
                            <w:proofErr w:type="spellEnd"/>
                            <w:r>
                              <w:t xml:space="preserve"> interface is shown by dashed white lines. TD inclination as well as TD annihilation at this interface is marked by white and black arrows, correspondingly. Fig. 3b) TD behavior in the LED-structure grown on </w:t>
                            </w:r>
                            <w:proofErr w:type="spellStart"/>
                            <w:r>
                              <w:t>AlN</w:t>
                            </w:r>
                            <w:proofErr w:type="spellEnd"/>
                            <w:r>
                              <w:t xml:space="preserve"> template with TDD ~ 3 x10</w:t>
                            </w:r>
                            <w:r>
                              <w:rPr>
                                <w:vertAlign w:val="superscript"/>
                              </w:rPr>
                              <w:t>9</w:t>
                            </w:r>
                            <w:r>
                              <w:t xml:space="preserve"> cm</w:t>
                            </w:r>
                            <w:r>
                              <w:rPr>
                                <w:vertAlign w:val="superscript"/>
                              </w:rPr>
                              <w:t>-2</w:t>
                            </w:r>
                            <w:r>
                              <w:t>, 0.5° off-cut to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7pt;margin-top:-8.35pt;width:509.05pt;height:22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5qKAIAAEwEAAAOAAAAZHJzL2Uyb0RvYy54bWysVNuO0zAQfUfiHyy/06TdtDRR09XSpQhp&#10;uUi7fIDjOI2F4zG226R8/Y6dtlQLvCDyYHk84+OZc2ayuh06RQ7COgm6pNNJSonQHGqpdyX99rR9&#10;s6TEeaZrpkCLkh6Fo7fr169WvSnEDFpQtbAEQbQrelPS1ntTJInjreiYm4ARGp0N2I55NO0uqS3r&#10;Eb1TySxNF0kPtjYWuHAOT+9HJ11H/KYR3H9pGic8USXF3HxcbVyrsCbrFSt2lplW8lMa7B+y6JjU&#10;+OgF6p55RvZW/gbVSW7BQeMnHLoEmkZyEWvAaqbpi2oeW2ZErAXJceZCk/t/sPzz4aslsi5pTolm&#10;HUr0JAZP3sFA8sBOb1yBQY8Gw/yAx6hyrNSZB+DfHdGwaZneiTtroW8FqzG7abiZXF0dcVwAqfpP&#10;UOMzbO8hAg2N7QJ1SAZBdFTpeFEmpMLxcJEtsvxmTglH32yZpXketUtYcb5urPMfBHQkbEpqUfoI&#10;zw4Pzod0WHEOCa85ULLeSqWiYXfVRllyYNgm2/jFCl6EKU16JGo+m48M/BUijd+fIDrpsd+V7Eq6&#10;vASxIvD2XtexGz2TatxjykqfiAzcjSz6oRqiYjdnfSqoj8ishbG9cRxx04L9SUmPrV1S92PPrKBE&#10;fdSoTj7NsjAL0cjmb2do2GtPde1hmiNUST0l43bj4/wE3jTcoYqNjPwGucdMTiljy0baT+MVZuLa&#10;jlG/fgLrZwAAAP//AwBQSwMEFAAGAAgAAAAhAL/9QWXfAAAACwEAAA8AAABkcnMvZG93bnJldi54&#10;bWxMj8FOwzAMhu9IvENkJC5oS8aqdpSmE0ICwW2MaVyzxmsrGqckWVfenpQLnGzLn35/Ltaj6diA&#10;zreWJCzmAhhSZXVLtYTd+9NsBcwHRVp1llDCN3pYl5cXhcq1PdMbDttQsxhCPlcSmhD6nHNfNWiU&#10;n9seKe6O1hkV4uhqrp06x3DT8VshUm5US/FCo3p8bLD63J6MhFXyMnz41+VmX6XH7i7cZMPzl5Py&#10;+mp8uAcWcAx/MEz6UR3K6HSwJ9KedRJmiySSU00zYBMgfruDhGQpMuBlwf//UP4AAAD//wMAUEsB&#10;Ai0AFAAGAAgAAAAhALaDOJL+AAAA4QEAABMAAAAAAAAAAAAAAAAAAAAAAFtDb250ZW50X1R5cGVz&#10;XS54bWxQSwECLQAUAAYACAAAACEAOP0h/9YAAACUAQAACwAAAAAAAAAAAAAAAAAvAQAAX3JlbHMv&#10;LnJlbHNQSwECLQAUAAYACAAAACEANSveaigCAABMBAAADgAAAAAAAAAAAAAAAAAuAgAAZHJzL2Uy&#10;b0RvYy54bWxQSwECLQAUAAYACAAAACEAv/1BZd8AAAALAQAADwAAAAAAAAAAAAAAAACCBAAAZHJz&#10;L2Rvd25yZXYueG1sUEsFBgAAAAAEAAQA8wAAAI4FAAAAAA==&#10;">
                <v:textbox>
                  <w:txbxContent>
                    <w:p>
                      <w:r>
                        <w:rPr>
                          <w:bCs/>
                          <w:iCs/>
                          <w:noProof/>
                          <w:sz w:val="24"/>
                          <w:szCs w:val="24"/>
                          <w:lang w:val="de-DE" w:eastAsia="de-DE"/>
                        </w:rPr>
                        <w:drawing>
                          <wp:inline distT="0" distB="0" distL="0" distR="0">
                            <wp:extent cx="2529095" cy="1774371"/>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rotWithShape="1">
                                    <a:blip r:embed="rId22" cstate="print">
                                      <a:extLst>
                                        <a:ext uri="{28A0092B-C50C-407E-A947-70E740481C1C}">
                                          <a14:useLocalDpi xmlns:a14="http://schemas.microsoft.com/office/drawing/2010/main" val="0"/>
                                        </a:ext>
                                      </a:extLst>
                                    </a:blip>
                                    <a:srcRect r="41163"/>
                                    <a:stretch/>
                                  </pic:blipFill>
                                  <pic:spPr bwMode="auto">
                                    <a:xfrm>
                                      <a:off x="0" y="0"/>
                                      <a:ext cx="2551844" cy="17903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de-DE" w:eastAsia="de-DE"/>
                        </w:rPr>
                        <w:drawing>
                          <wp:inline distT="0" distB="0" distL="0" distR="0">
                            <wp:extent cx="2674620" cy="17754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5254" b="37976"/>
                                    <a:stretch/>
                                  </pic:blipFill>
                                  <pic:spPr bwMode="auto">
                                    <a:xfrm>
                                      <a:off x="0" y="0"/>
                                      <a:ext cx="2676586" cy="1776765"/>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p>
                    <w:p>
                      <w:pPr>
                        <w:jc w:val="both"/>
                      </w:pPr>
                      <w:r>
                        <w:t xml:space="preserve">Fig. 3 ADF STEM cross-sectional images of UVB-LED structure on </w:t>
                      </w:r>
                      <w:proofErr w:type="spellStart"/>
                      <w:r>
                        <w:t>AlN</w:t>
                      </w:r>
                      <w:proofErr w:type="spellEnd"/>
                      <w:r>
                        <w:t xml:space="preserve"> template with TDD ~ 4 x10</w:t>
                      </w:r>
                      <w:r>
                        <w:rPr>
                          <w:vertAlign w:val="superscript"/>
                        </w:rPr>
                        <w:t>9</w:t>
                      </w:r>
                      <w:r>
                        <w:t xml:space="preserve"> cm</w:t>
                      </w:r>
                      <w:r>
                        <w:rPr>
                          <w:vertAlign w:val="superscript"/>
                        </w:rPr>
                        <w:t>-2</w:t>
                      </w:r>
                      <w:r>
                        <w:t xml:space="preserve">, 0.2° off-cut to m; a) TD inclination and formation of horizontal dislocation lines in </w:t>
                      </w:r>
                      <w:proofErr w:type="spellStart"/>
                      <w:r>
                        <w:t>AlN</w:t>
                      </w:r>
                      <w:proofErr w:type="spellEnd"/>
                      <w:r>
                        <w:t xml:space="preserve">/GaN superlattice (viewed in [11-20] </w:t>
                      </w:r>
                      <w:proofErr w:type="spellStart"/>
                      <w:r>
                        <w:t>AlN</w:t>
                      </w:r>
                      <w:proofErr w:type="spellEnd"/>
                      <w:r>
                        <w:t xml:space="preserve"> projection). The position of the homoepitaxial </w:t>
                      </w:r>
                      <w:proofErr w:type="spellStart"/>
                      <w:r>
                        <w:t>AlN</w:t>
                      </w:r>
                      <w:proofErr w:type="spellEnd"/>
                      <w:r>
                        <w:t>/</w:t>
                      </w:r>
                      <w:proofErr w:type="spellStart"/>
                      <w:r>
                        <w:t>AlN</w:t>
                      </w:r>
                      <w:proofErr w:type="spellEnd"/>
                      <w:r>
                        <w:t xml:space="preserve"> interface is shown by dashed white lines. TD inclination as well as TD annihilation at this interface is marked by white and black arrows, correspondingly. Fig. 3b) TD behavior in the LED-structure grown on </w:t>
                      </w:r>
                      <w:proofErr w:type="spellStart"/>
                      <w:r>
                        <w:t>AlN</w:t>
                      </w:r>
                      <w:proofErr w:type="spellEnd"/>
                      <w:r>
                        <w:t xml:space="preserve"> template with TDD ~ 3 x10</w:t>
                      </w:r>
                      <w:r>
                        <w:rPr>
                          <w:vertAlign w:val="superscript"/>
                        </w:rPr>
                        <w:t>9</w:t>
                      </w:r>
                      <w:r>
                        <w:t xml:space="preserve"> cm</w:t>
                      </w:r>
                      <w:r>
                        <w:rPr>
                          <w:vertAlign w:val="superscript"/>
                        </w:rPr>
                        <w:t>-2</w:t>
                      </w:r>
                      <w:r>
                        <w:t>, 0.5° off-cut to m.</w:t>
                      </w:r>
                    </w:p>
                  </w:txbxContent>
                </v:textbox>
                <w10:wrap type="square" anchorx="margin"/>
              </v:shape>
            </w:pict>
          </mc:Fallback>
        </mc:AlternateContent>
      </w:r>
      <w:r>
        <w:t>References</w:t>
      </w:r>
    </w:p>
    <w:p/>
    <w:p>
      <w:pPr>
        <w:tabs>
          <w:tab w:val="left" w:pos="270"/>
        </w:tabs>
        <w:ind w:left="270" w:hanging="270"/>
        <w:jc w:val="both"/>
        <w:rPr>
          <w:snapToGrid w:val="0"/>
        </w:rPr>
      </w:pPr>
      <w:r>
        <w:rPr>
          <w:snapToGrid w:val="0"/>
        </w:rPr>
        <w:t xml:space="preserve">[1] M. Kneissl, et al., Nature Photonics </w:t>
      </w:r>
      <w:r>
        <w:rPr>
          <w:b/>
          <w:bCs/>
          <w:snapToGrid w:val="0"/>
        </w:rPr>
        <w:t>13</w:t>
      </w:r>
      <w:r>
        <w:rPr>
          <w:snapToGrid w:val="0"/>
        </w:rPr>
        <w:t>, 233 (2019)</w:t>
      </w:r>
    </w:p>
    <w:p>
      <w:pPr>
        <w:tabs>
          <w:tab w:val="left" w:pos="270"/>
        </w:tabs>
        <w:ind w:left="270" w:hanging="270"/>
        <w:jc w:val="both"/>
        <w:rPr>
          <w:snapToGrid w:val="0"/>
        </w:rPr>
      </w:pPr>
      <w:r>
        <w:rPr>
          <w:snapToGrid w:val="0"/>
        </w:rPr>
        <w:t xml:space="preserve">[2] K. Davitt, et al., Opt. Express </w:t>
      </w:r>
      <w:r>
        <w:rPr>
          <w:b/>
          <w:bCs/>
          <w:snapToGrid w:val="0"/>
        </w:rPr>
        <w:t>13</w:t>
      </w:r>
      <w:r>
        <w:rPr>
          <w:snapToGrid w:val="0"/>
        </w:rPr>
        <w:t>, 9548 (2005).</w:t>
      </w:r>
    </w:p>
    <w:p>
      <w:pPr>
        <w:tabs>
          <w:tab w:val="left" w:pos="270"/>
        </w:tabs>
        <w:ind w:left="270" w:hanging="270"/>
        <w:jc w:val="both"/>
        <w:rPr>
          <w:snapToGrid w:val="0"/>
        </w:rPr>
      </w:pPr>
      <w:r>
        <w:rPr>
          <w:snapToGrid w:val="0"/>
        </w:rPr>
        <w:t xml:space="preserve">[3] M. Kneissl, J. </w:t>
      </w:r>
      <w:proofErr w:type="spellStart"/>
      <w:r>
        <w:rPr>
          <w:snapToGrid w:val="0"/>
        </w:rPr>
        <w:t>Rass</w:t>
      </w:r>
      <w:proofErr w:type="spellEnd"/>
      <w:r>
        <w:rPr>
          <w:snapToGrid w:val="0"/>
        </w:rPr>
        <w:t xml:space="preserve">, </w:t>
      </w:r>
      <w:r>
        <w:rPr>
          <w:i/>
          <w:iCs/>
          <w:snapToGrid w:val="0"/>
        </w:rPr>
        <w:t>III-Nitride UV emitters</w:t>
      </w:r>
      <w:r>
        <w:rPr>
          <w:snapToGrid w:val="0"/>
        </w:rPr>
        <w:t>. Springer Series in Materials Sci.: Basel, Switzerland, 2016.</w:t>
      </w:r>
    </w:p>
    <w:p>
      <w:pPr>
        <w:tabs>
          <w:tab w:val="left" w:pos="270"/>
        </w:tabs>
        <w:ind w:left="270" w:hanging="270"/>
        <w:jc w:val="both"/>
        <w:rPr>
          <w:snapToGrid w:val="0"/>
        </w:rPr>
      </w:pPr>
      <w:r>
        <w:rPr>
          <w:snapToGrid w:val="0"/>
        </w:rPr>
        <w:t xml:space="preserve">[4] M. Kneissl, et al., </w:t>
      </w:r>
      <w:proofErr w:type="spellStart"/>
      <w:r>
        <w:rPr>
          <w:snapToGrid w:val="0"/>
        </w:rPr>
        <w:t>Semicond</w:t>
      </w:r>
      <w:proofErr w:type="spellEnd"/>
      <w:r>
        <w:rPr>
          <w:snapToGrid w:val="0"/>
        </w:rPr>
        <w:t>. Sci. Technol. 26, 014036 (2011).</w:t>
      </w:r>
    </w:p>
    <w:p>
      <w:pPr>
        <w:tabs>
          <w:tab w:val="left" w:pos="270"/>
        </w:tabs>
        <w:ind w:left="270" w:hanging="270"/>
        <w:jc w:val="both"/>
        <w:rPr>
          <w:snapToGrid w:val="0"/>
        </w:rPr>
      </w:pPr>
      <w:r>
        <w:rPr>
          <w:snapToGrid w:val="0"/>
        </w:rPr>
        <w:t xml:space="preserve">[5] K. Ban, et al., Appl. Phys. Express </w:t>
      </w:r>
      <w:r>
        <w:rPr>
          <w:b/>
          <w:bCs/>
          <w:snapToGrid w:val="0"/>
        </w:rPr>
        <w:t>4</w:t>
      </w:r>
      <w:r>
        <w:rPr>
          <w:snapToGrid w:val="0"/>
        </w:rPr>
        <w:t>, 052101 (2011).</w:t>
      </w:r>
    </w:p>
    <w:p>
      <w:pPr>
        <w:tabs>
          <w:tab w:val="left" w:pos="270"/>
        </w:tabs>
        <w:ind w:left="270" w:hanging="270"/>
        <w:jc w:val="both"/>
        <w:rPr>
          <w:snapToGrid w:val="0"/>
        </w:rPr>
      </w:pPr>
      <w:r>
        <w:rPr>
          <w:snapToGrid w:val="0"/>
        </w:rPr>
        <w:t xml:space="preserve">[6] H. Miyake, et al., Appl. Phys. Express </w:t>
      </w:r>
      <w:r>
        <w:rPr>
          <w:b/>
          <w:bCs/>
          <w:snapToGrid w:val="0"/>
        </w:rPr>
        <w:t>9</w:t>
      </w:r>
      <w:r>
        <w:rPr>
          <w:snapToGrid w:val="0"/>
        </w:rPr>
        <w:t>, 025501 (2016).</w:t>
      </w:r>
    </w:p>
    <w:p>
      <w:pPr>
        <w:tabs>
          <w:tab w:val="left" w:pos="270"/>
        </w:tabs>
        <w:ind w:left="270" w:hanging="270"/>
        <w:jc w:val="both"/>
        <w:rPr>
          <w:snapToGrid w:val="0"/>
        </w:rPr>
      </w:pPr>
      <w:r>
        <w:rPr>
          <w:snapToGrid w:val="0"/>
        </w:rPr>
        <w:t xml:space="preserve">[7] H. Miyake, et al., J. Crystal Growth </w:t>
      </w:r>
      <w:r>
        <w:rPr>
          <w:b/>
          <w:bCs/>
          <w:snapToGrid w:val="0"/>
        </w:rPr>
        <w:t>456</w:t>
      </w:r>
      <w:r>
        <w:rPr>
          <w:snapToGrid w:val="0"/>
        </w:rPr>
        <w:t xml:space="preserve">, 155 (2016). </w:t>
      </w:r>
    </w:p>
    <w:p>
      <w:pPr>
        <w:tabs>
          <w:tab w:val="left" w:pos="270"/>
        </w:tabs>
        <w:ind w:left="270" w:hanging="270"/>
        <w:jc w:val="both"/>
        <w:rPr>
          <w:snapToGrid w:val="0"/>
        </w:rPr>
      </w:pPr>
      <w:r>
        <w:rPr>
          <w:snapToGrid w:val="0"/>
        </w:rPr>
        <w:t xml:space="preserve">[8] K. </w:t>
      </w:r>
      <w:proofErr w:type="spellStart"/>
      <w:r>
        <w:rPr>
          <w:snapToGrid w:val="0"/>
        </w:rPr>
        <w:t>Uesugi</w:t>
      </w:r>
      <w:proofErr w:type="spellEnd"/>
      <w:r>
        <w:rPr>
          <w:snapToGrid w:val="0"/>
        </w:rPr>
        <w:t xml:space="preserve">, at al., Appl. Phys. Express </w:t>
      </w:r>
      <w:r>
        <w:rPr>
          <w:b/>
          <w:bCs/>
          <w:snapToGrid w:val="0"/>
        </w:rPr>
        <w:t>12</w:t>
      </w:r>
      <w:r>
        <w:rPr>
          <w:snapToGrid w:val="0"/>
        </w:rPr>
        <w:t>, 065501 (2019).</w:t>
      </w:r>
    </w:p>
    <w:p>
      <w:pPr>
        <w:tabs>
          <w:tab w:val="left" w:pos="270"/>
        </w:tabs>
        <w:ind w:left="270" w:hanging="270"/>
        <w:jc w:val="both"/>
        <w:rPr>
          <w:snapToGrid w:val="0"/>
        </w:rPr>
      </w:pPr>
      <w:r>
        <w:rPr>
          <w:snapToGrid w:val="0"/>
        </w:rPr>
        <w:t xml:space="preserve">[9] T. Kolbe, et al., Materials </w:t>
      </w:r>
      <w:r>
        <w:rPr>
          <w:b/>
          <w:bCs/>
          <w:snapToGrid w:val="0"/>
        </w:rPr>
        <w:t>10</w:t>
      </w:r>
      <w:r>
        <w:rPr>
          <w:snapToGrid w:val="0"/>
        </w:rPr>
        <w:t>, 1396 (2017).</w:t>
      </w:r>
    </w:p>
    <w:p>
      <w:pPr>
        <w:tabs>
          <w:tab w:val="left" w:pos="270"/>
        </w:tabs>
        <w:ind w:left="270" w:hanging="270"/>
        <w:jc w:val="both"/>
        <w:rPr>
          <w:snapToGrid w:val="0"/>
        </w:rPr>
      </w:pPr>
      <w:r>
        <w:rPr>
          <w:snapToGrid w:val="0"/>
        </w:rPr>
        <w:t xml:space="preserve">[10] O. </w:t>
      </w:r>
      <w:proofErr w:type="spellStart"/>
      <w:r>
        <w:rPr>
          <w:snapToGrid w:val="0"/>
        </w:rPr>
        <w:t>Reentilä</w:t>
      </w:r>
      <w:proofErr w:type="spellEnd"/>
      <w:r>
        <w:rPr>
          <w:snapToGrid w:val="0"/>
        </w:rPr>
        <w:t xml:space="preserve">, et al., J. Crystal Growth </w:t>
      </w:r>
      <w:r>
        <w:rPr>
          <w:b/>
          <w:bCs/>
          <w:snapToGrid w:val="0"/>
        </w:rPr>
        <w:t>310</w:t>
      </w:r>
      <w:r>
        <w:rPr>
          <w:snapToGrid w:val="0"/>
        </w:rPr>
        <w:t xml:space="preserve">, 4932 (2008). </w:t>
      </w:r>
    </w:p>
    <w:p>
      <w:pPr>
        <w:tabs>
          <w:tab w:val="left" w:pos="270"/>
        </w:tabs>
        <w:ind w:left="270" w:hanging="270"/>
        <w:jc w:val="both"/>
        <w:rPr>
          <w:snapToGrid w:val="0"/>
        </w:rPr>
      </w:pPr>
      <w:r>
        <w:rPr>
          <w:snapToGrid w:val="0"/>
        </w:rPr>
        <w:t xml:space="preserve">[11] S. Hagedorn, et al., J. Crystal Growth </w:t>
      </w:r>
      <w:r>
        <w:rPr>
          <w:b/>
          <w:bCs/>
          <w:snapToGrid w:val="0"/>
        </w:rPr>
        <w:t>479</w:t>
      </w:r>
      <w:r>
        <w:rPr>
          <w:snapToGrid w:val="0"/>
        </w:rPr>
        <w:t>, 16 (2017).</w:t>
      </w:r>
    </w:p>
    <w:p>
      <w:pPr>
        <w:tabs>
          <w:tab w:val="left" w:pos="270"/>
        </w:tabs>
        <w:ind w:left="270" w:hanging="270"/>
        <w:jc w:val="both"/>
        <w:rPr>
          <w:snapToGrid w:val="0"/>
        </w:rPr>
      </w:pPr>
      <w:r>
        <w:rPr>
          <w:snapToGrid w:val="0"/>
        </w:rPr>
        <w:t xml:space="preserve">[12] T. Kolbe, et al., J. Crystal Growth </w:t>
      </w:r>
      <w:r>
        <w:rPr>
          <w:b/>
          <w:bCs/>
          <w:snapToGrid w:val="0"/>
        </w:rPr>
        <w:t>526</w:t>
      </w:r>
      <w:r>
        <w:rPr>
          <w:snapToGrid w:val="0"/>
        </w:rPr>
        <w:t>, 125241 (2019).</w:t>
      </w:r>
    </w:p>
    <w:p>
      <w:pPr>
        <w:tabs>
          <w:tab w:val="left" w:pos="270"/>
        </w:tabs>
        <w:ind w:left="270" w:hanging="270"/>
        <w:jc w:val="both"/>
        <w:rPr>
          <w:snapToGrid w:val="0"/>
          <w:lang w:val="de-DE"/>
        </w:rPr>
      </w:pPr>
      <w:r>
        <w:rPr>
          <w:snapToGrid w:val="0"/>
        </w:rPr>
        <w:t xml:space="preserve">[13] P. Gay, at al., Acta Metall. </w:t>
      </w:r>
      <w:r>
        <w:rPr>
          <w:b/>
          <w:bCs/>
          <w:snapToGrid w:val="0"/>
          <w:lang w:val="de-DE"/>
        </w:rPr>
        <w:t>1</w:t>
      </w:r>
      <w:r>
        <w:rPr>
          <w:snapToGrid w:val="0"/>
          <w:lang w:val="de-DE"/>
        </w:rPr>
        <w:t>, 315 (1953).</w:t>
      </w:r>
    </w:p>
    <w:p>
      <w:pPr>
        <w:tabs>
          <w:tab w:val="left" w:pos="270"/>
        </w:tabs>
        <w:ind w:left="270" w:hanging="270"/>
        <w:jc w:val="both"/>
        <w:rPr>
          <w:snapToGrid w:val="0"/>
        </w:rPr>
      </w:pPr>
      <w:r>
        <w:rPr>
          <w:snapToGrid w:val="0"/>
          <w:lang w:val="de-DE"/>
        </w:rPr>
        <w:t xml:space="preserve">[14] T. Metzger et al., Philos. </w:t>
      </w:r>
      <w:r>
        <w:rPr>
          <w:snapToGrid w:val="0"/>
        </w:rPr>
        <w:t xml:space="preserve">Mag. A </w:t>
      </w:r>
      <w:r>
        <w:rPr>
          <w:b/>
          <w:bCs/>
          <w:snapToGrid w:val="0"/>
        </w:rPr>
        <w:t>77</w:t>
      </w:r>
      <w:r>
        <w:rPr>
          <w:snapToGrid w:val="0"/>
        </w:rPr>
        <w:t>, 1013 (1998).</w:t>
      </w:r>
    </w:p>
    <w:p>
      <w:pPr>
        <w:tabs>
          <w:tab w:val="left" w:pos="270"/>
        </w:tabs>
        <w:ind w:left="270" w:hanging="270"/>
        <w:jc w:val="both"/>
        <w:rPr>
          <w:snapToGrid w:val="0"/>
        </w:rPr>
      </w:pPr>
      <w:r>
        <w:rPr>
          <w:snapToGrid w:val="0"/>
        </w:rPr>
        <w:t>[15] S. R. Lee, et al., Appl. Phys. Lett.</w:t>
      </w:r>
      <w:r>
        <w:rPr>
          <w:b/>
          <w:bCs/>
          <w:snapToGrid w:val="0"/>
        </w:rPr>
        <w:t xml:space="preserve"> 86</w:t>
      </w:r>
      <w:r>
        <w:rPr>
          <w:snapToGrid w:val="0"/>
        </w:rPr>
        <w:t>, 241904 (2005).</w:t>
      </w:r>
    </w:p>
    <w:p>
      <w:pPr>
        <w:tabs>
          <w:tab w:val="left" w:pos="270"/>
        </w:tabs>
        <w:ind w:left="270" w:hanging="270"/>
        <w:jc w:val="both"/>
        <w:rPr>
          <w:snapToGrid w:val="0"/>
        </w:rPr>
      </w:pPr>
      <w:r>
        <w:rPr>
          <w:snapToGrid w:val="0"/>
        </w:rPr>
        <w:t xml:space="preserve">[16] S. Walde, et al., J. J. Appl. Phys. </w:t>
      </w:r>
      <w:r>
        <w:rPr>
          <w:b/>
          <w:bCs/>
          <w:snapToGrid w:val="0"/>
        </w:rPr>
        <w:t>58</w:t>
      </w:r>
      <w:r>
        <w:rPr>
          <w:snapToGrid w:val="0"/>
        </w:rPr>
        <w:t xml:space="preserve">, SC1002 (2019). </w:t>
      </w:r>
    </w:p>
    <w:p>
      <w:pPr>
        <w:tabs>
          <w:tab w:val="left" w:pos="270"/>
        </w:tabs>
        <w:ind w:left="270" w:hanging="270"/>
        <w:jc w:val="both"/>
        <w:rPr>
          <w:snapToGrid w:val="0"/>
        </w:rPr>
      </w:pPr>
      <w:r>
        <w:rPr>
          <w:snapToGrid w:val="0"/>
        </w:rPr>
        <w:t xml:space="preserve">[17] F. Brunner, et al., J. Crystal Growth </w:t>
      </w:r>
      <w:r>
        <w:rPr>
          <w:b/>
          <w:bCs/>
          <w:snapToGrid w:val="0"/>
        </w:rPr>
        <w:t>376</w:t>
      </w:r>
      <w:r>
        <w:rPr>
          <w:snapToGrid w:val="0"/>
        </w:rPr>
        <w:t>, 54 (2013).</w:t>
      </w:r>
    </w:p>
    <w:p>
      <w:pPr>
        <w:tabs>
          <w:tab w:val="left" w:pos="270"/>
        </w:tabs>
        <w:ind w:left="270" w:hanging="270"/>
        <w:jc w:val="both"/>
        <w:rPr>
          <w:snapToGrid w:val="0"/>
        </w:rPr>
      </w:pPr>
      <w:r>
        <w:rPr>
          <w:snapToGrid w:val="0"/>
        </w:rPr>
        <w:t xml:space="preserve">[18] D.M. </w:t>
      </w:r>
      <w:proofErr w:type="spellStart"/>
      <w:r>
        <w:rPr>
          <w:snapToGrid w:val="0"/>
        </w:rPr>
        <w:t>Follstaedt</w:t>
      </w:r>
      <w:proofErr w:type="spellEnd"/>
      <w:r>
        <w:rPr>
          <w:snapToGrid w:val="0"/>
        </w:rPr>
        <w:t xml:space="preserve">, et al., J. Appl. Phys. </w:t>
      </w:r>
      <w:r>
        <w:rPr>
          <w:b/>
          <w:bCs/>
          <w:snapToGrid w:val="0"/>
        </w:rPr>
        <w:t>105</w:t>
      </w:r>
      <w:r>
        <w:rPr>
          <w:snapToGrid w:val="0"/>
        </w:rPr>
        <w:t xml:space="preserve"> (2009) 083507.</w:t>
      </w:r>
    </w:p>
    <w:p>
      <w:pPr>
        <w:tabs>
          <w:tab w:val="left" w:pos="270"/>
        </w:tabs>
        <w:ind w:left="270" w:hanging="270"/>
        <w:jc w:val="both"/>
        <w:rPr>
          <w:sz w:val="24"/>
        </w:rPr>
      </w:pPr>
    </w:p>
    <w:p>
      <w:pPr>
        <w:tabs>
          <w:tab w:val="left" w:pos="270"/>
        </w:tabs>
        <w:jc w:val="both"/>
      </w:pPr>
    </w:p>
    <w:p>
      <w:pPr>
        <w:tabs>
          <w:tab w:val="left" w:pos="270"/>
        </w:tabs>
        <w:jc w:val="both"/>
        <w:rPr>
          <w:smallCaps/>
        </w:rPr>
      </w:pPr>
      <w:r>
        <w:rPr>
          <w:smallCaps/>
        </w:rPr>
        <w:t>Acronyms</w:t>
      </w:r>
    </w:p>
    <w:p>
      <w:pPr>
        <w:tabs>
          <w:tab w:val="left" w:pos="270"/>
        </w:tabs>
        <w:jc w:val="both"/>
        <w:rPr>
          <w:smallCaps/>
        </w:rPr>
      </w:pPr>
    </w:p>
    <w:p>
      <w:pPr>
        <w:autoSpaceDE w:val="0"/>
        <w:autoSpaceDN w:val="0"/>
        <w:adjustRightInd w:val="0"/>
        <w:ind w:left="270"/>
      </w:pPr>
      <w:r>
        <w:t>AFM: Atomic Force Microscopy</w:t>
      </w:r>
    </w:p>
    <w:p>
      <w:pPr>
        <w:autoSpaceDE w:val="0"/>
        <w:autoSpaceDN w:val="0"/>
        <w:adjustRightInd w:val="0"/>
        <w:ind w:left="270"/>
      </w:pPr>
      <w:r>
        <w:t>HTA: Hight Temperature Annealing</w:t>
      </w:r>
    </w:p>
    <w:p>
      <w:pPr>
        <w:autoSpaceDE w:val="0"/>
        <w:autoSpaceDN w:val="0"/>
        <w:adjustRightInd w:val="0"/>
        <w:ind w:left="270"/>
      </w:pPr>
      <w:r>
        <w:t>NIR: Near infrared (750-1400 nm)</w:t>
      </w:r>
    </w:p>
    <w:p>
      <w:pPr>
        <w:autoSpaceDE w:val="0"/>
        <w:autoSpaceDN w:val="0"/>
        <w:adjustRightInd w:val="0"/>
        <w:ind w:left="270"/>
      </w:pPr>
      <w:r>
        <w:t>R</w:t>
      </w:r>
      <w:r>
        <w:rPr>
          <w:vertAlign w:val="subscript"/>
        </w:rPr>
        <w:t>280</w:t>
      </w:r>
      <w:r>
        <w:t>: 280 nm reflectance signal</w:t>
      </w:r>
    </w:p>
    <w:p>
      <w:pPr>
        <w:autoSpaceDE w:val="0"/>
        <w:autoSpaceDN w:val="0"/>
        <w:adjustRightInd w:val="0"/>
        <w:ind w:left="270"/>
      </w:pPr>
      <w:r>
        <w:t>R</w:t>
      </w:r>
      <w:r>
        <w:rPr>
          <w:vertAlign w:val="subscript"/>
        </w:rPr>
        <w:t>405</w:t>
      </w:r>
      <w:r>
        <w:t>: 405 nm reflectance signal</w:t>
      </w:r>
    </w:p>
    <w:p>
      <w:pPr>
        <w:autoSpaceDE w:val="0"/>
        <w:autoSpaceDN w:val="0"/>
        <w:adjustRightInd w:val="0"/>
        <w:ind w:left="270"/>
      </w:pPr>
      <w:r>
        <w:t>R</w:t>
      </w:r>
      <w:r>
        <w:rPr>
          <w:vertAlign w:val="subscript"/>
        </w:rPr>
        <w:t>633</w:t>
      </w:r>
      <w:r>
        <w:t xml:space="preserve">: </w:t>
      </w:r>
      <w:r>
        <w:t>633</w:t>
      </w:r>
      <w:bookmarkStart w:id="0" w:name="_GoBack"/>
      <w:bookmarkEnd w:id="0"/>
      <w:r>
        <w:t> nm reflectance signal</w:t>
      </w:r>
    </w:p>
    <w:p>
      <w:pPr>
        <w:ind w:left="270"/>
      </w:pPr>
      <w:r>
        <w:t>TDD: Threading Dislocation Density</w:t>
      </w:r>
    </w:p>
    <w:p>
      <w:pPr>
        <w:ind w:left="270"/>
      </w:pPr>
      <w:r>
        <w:t>TEM: Transmission Electron Microscopy</w:t>
      </w:r>
    </w:p>
    <w:p>
      <w:pPr>
        <w:ind w:left="270"/>
      </w:pPr>
      <w:r>
        <w:t>XRD: X-Ray Diffraction</w:t>
      </w:r>
    </w:p>
    <w:p/>
    <w:sectPr>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123EFE"/>
    <w:multiLevelType w:val="hybridMultilevel"/>
    <w:tmpl w:val="FE081846"/>
    <w:lvl w:ilvl="0" w:tplc="443AE47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6E4650A"/>
    <w:multiLevelType w:val="hybridMultilevel"/>
    <w:tmpl w:val="FE081846"/>
    <w:lvl w:ilvl="0" w:tplc="443AE47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rPr>
      <w:b/>
      <w:sz w:val="28"/>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basedOn w:val="DefaultParagraphFont"/>
    <w:link w:val="CommentText"/>
    <w:semiHidden/>
  </w:style>
  <w:style w:type="character" w:customStyle="1" w:styleId="CommentSubjectChar">
    <w:name w:val="Comment Subject Char"/>
    <w:basedOn w:val="CommentTextChar"/>
    <w:link w:val="CommentSubject"/>
    <w:semiHidden/>
    <w:rPr>
      <w:b/>
      <w:bCs/>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25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au.prince@laytec.de" TargetMode="External"/><Relationship Id="rId13" Type="http://schemas.openxmlformats.org/officeDocument/2006/relationships/header" Target="header3.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tif"/><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F64E56-7DEE-4072-948E-DF713CFE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2051</Words>
  <Characters>11696</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2020-03-03T11:39:00Z</dcterms:created>
  <dcterms:modified xsi:type="dcterms:W3CDTF">2020-03-03T11:41:00Z</dcterms:modified>
</cp:coreProperties>
</file>