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76271" w14:textId="5470923C" w:rsidR="008F3F03" w:rsidRDefault="00F74019">
      <w:pPr>
        <w:pStyle w:val="BodyText"/>
        <w:jc w:val="center"/>
      </w:pPr>
      <w:bookmarkStart w:id="0" w:name="_Hlk24712572"/>
      <w:bookmarkStart w:id="1" w:name="_GoBack"/>
      <w:bookmarkEnd w:id="0"/>
      <w:bookmarkEnd w:id="1"/>
      <w:r>
        <w:t>eD</w:t>
      </w:r>
      <w:r w:rsidR="001B5C31">
        <w:t>ata</w:t>
      </w:r>
      <w:r>
        <w:t>L</w:t>
      </w:r>
      <w:r w:rsidR="001B5C31">
        <w:t>yzer</w:t>
      </w:r>
      <w:r>
        <w:t xml:space="preserve"> Application on Solving DS Yield Issue with Starburst Pattern</w:t>
      </w:r>
    </w:p>
    <w:p w14:paraId="29F87433" w14:textId="77777777" w:rsidR="00FB407F" w:rsidRDefault="00FB407F">
      <w:pPr>
        <w:pStyle w:val="BodyText"/>
        <w:jc w:val="center"/>
      </w:pPr>
    </w:p>
    <w:p w14:paraId="3B8E98A0" w14:textId="672C564C" w:rsidR="00CC72AF" w:rsidRPr="00F66E71" w:rsidRDefault="00FB407F" w:rsidP="009E63BE">
      <w:pPr>
        <w:pStyle w:val="Heading1"/>
        <w:jc w:val="center"/>
        <w:rPr>
          <w:vertAlign w:val="superscript"/>
        </w:rPr>
      </w:pPr>
      <w:r w:rsidRPr="00F66E71">
        <w:t>Yiping Wang</w:t>
      </w:r>
      <w:r w:rsidR="00F74019" w:rsidRPr="00F66E71">
        <w:rPr>
          <w:vertAlign w:val="superscript"/>
        </w:rPr>
        <w:t>1</w:t>
      </w:r>
      <w:r w:rsidRPr="00F66E71">
        <w:t xml:space="preserve">, </w:t>
      </w:r>
      <w:r w:rsidR="000F64CC" w:rsidRPr="00F66E71">
        <w:t>Robert Waco</w:t>
      </w:r>
      <w:r w:rsidR="00F74019" w:rsidRPr="00F66E71">
        <w:rPr>
          <w:vertAlign w:val="superscript"/>
        </w:rPr>
        <w:t>1</w:t>
      </w:r>
      <w:r w:rsidR="00F74019" w:rsidRPr="00F66E71">
        <w:t xml:space="preserve">, </w:t>
      </w:r>
      <w:r w:rsidR="001B5C31" w:rsidRPr="00F66E71">
        <w:t>Matthew Johnson</w:t>
      </w:r>
      <w:r w:rsidR="001B5C31" w:rsidRPr="00F66E71">
        <w:rPr>
          <w:vertAlign w:val="superscript"/>
        </w:rPr>
        <w:t>1</w:t>
      </w:r>
      <w:r w:rsidR="001B5C31" w:rsidRPr="00F66E71">
        <w:t>, Pat Hamilton</w:t>
      </w:r>
      <w:r w:rsidR="001B5C31" w:rsidRPr="00F66E71">
        <w:rPr>
          <w:vertAlign w:val="superscript"/>
        </w:rPr>
        <w:t>1</w:t>
      </w:r>
      <w:r w:rsidR="001B5C31" w:rsidRPr="00F66E71">
        <w:t xml:space="preserve">, </w:t>
      </w:r>
      <w:r w:rsidR="00F74019" w:rsidRPr="00F66E71">
        <w:t>Jinhong Yang</w:t>
      </w:r>
      <w:r w:rsidR="00F74019" w:rsidRPr="00F66E71">
        <w:rPr>
          <w:vertAlign w:val="superscript"/>
        </w:rPr>
        <w:t>1</w:t>
      </w:r>
      <w:r w:rsidR="00F74019" w:rsidRPr="00F66E71">
        <w:t>, Dana Schwartz</w:t>
      </w:r>
      <w:r w:rsidR="00F74019" w:rsidRPr="00F66E71">
        <w:rPr>
          <w:vertAlign w:val="superscript"/>
        </w:rPr>
        <w:t>1</w:t>
      </w:r>
      <w:r w:rsidR="00F74019" w:rsidRPr="00F66E71">
        <w:t>, Corey Nevers</w:t>
      </w:r>
      <w:r w:rsidR="00F74019" w:rsidRPr="00F66E71">
        <w:rPr>
          <w:vertAlign w:val="superscript"/>
        </w:rPr>
        <w:t>1</w:t>
      </w:r>
      <w:r w:rsidR="00410310" w:rsidRPr="00F66E71">
        <w:t>, Edward Elkan</w:t>
      </w:r>
      <w:r w:rsidR="00C62BEA" w:rsidRPr="00F66E71">
        <w:rPr>
          <w:vertAlign w:val="superscript"/>
        </w:rPr>
        <w:t>1</w:t>
      </w:r>
      <w:r w:rsidR="00410310" w:rsidRPr="00F66E71">
        <w:t>, Kaushik Vaidyanathan</w:t>
      </w:r>
      <w:r w:rsidR="00C62BEA" w:rsidRPr="00F66E71">
        <w:rPr>
          <w:vertAlign w:val="superscript"/>
        </w:rPr>
        <w:t>1</w:t>
      </w:r>
      <w:r w:rsidR="00410310" w:rsidRPr="00F66E71">
        <w:t xml:space="preserve">, </w:t>
      </w:r>
      <w:r w:rsidR="00F74019" w:rsidRPr="00F66E71">
        <w:t>and KimKok Gan</w:t>
      </w:r>
      <w:r w:rsidR="00F74019" w:rsidRPr="00F66E71">
        <w:rPr>
          <w:vertAlign w:val="superscript"/>
        </w:rPr>
        <w:t>2</w:t>
      </w:r>
    </w:p>
    <w:p w14:paraId="688212A1" w14:textId="77777777" w:rsidR="008F3F03" w:rsidRDefault="008F3F03">
      <w:pPr>
        <w:jc w:val="center"/>
        <w:rPr>
          <w:sz w:val="24"/>
        </w:rPr>
      </w:pPr>
    </w:p>
    <w:p w14:paraId="6111A8E4" w14:textId="0C17FA25" w:rsidR="00FB407F" w:rsidRPr="00FB407F" w:rsidRDefault="00F74019" w:rsidP="00FB407F">
      <w:pPr>
        <w:jc w:val="center"/>
      </w:pPr>
      <w:r>
        <w:rPr>
          <w:vertAlign w:val="superscript"/>
        </w:rPr>
        <w:t>1</w:t>
      </w:r>
      <w:r w:rsidR="00FB407F" w:rsidRPr="00FB407F">
        <w:t xml:space="preserve">Qorvo, Inc. 2300 NE Brookwood Parkway, Hillsboro, OR 97124  </w:t>
      </w:r>
    </w:p>
    <w:p w14:paraId="7D891D13" w14:textId="0EE420BB" w:rsidR="00FB407F" w:rsidRDefault="00FB407F" w:rsidP="00FB407F">
      <w:pPr>
        <w:jc w:val="center"/>
      </w:pPr>
      <w:r>
        <w:t xml:space="preserve"> </w:t>
      </w:r>
      <w:hyperlink r:id="rId8" w:history="1">
        <w:r w:rsidRPr="00BA7EAB">
          <w:rPr>
            <w:rStyle w:val="Hyperlink"/>
          </w:rPr>
          <w:t>Yiping.Wang@Qorvo.com</w:t>
        </w:r>
      </w:hyperlink>
      <w:r w:rsidRPr="00BA7EAB">
        <w:t xml:space="preserve"> (503)</w:t>
      </w:r>
      <w:r w:rsidR="008A39DD">
        <w:t xml:space="preserve"> </w:t>
      </w:r>
      <w:r w:rsidRPr="00BA7EAB">
        <w:t>615-9264</w:t>
      </w:r>
    </w:p>
    <w:p w14:paraId="60C85DC1" w14:textId="7DDF2658" w:rsidR="00F74019" w:rsidRDefault="00F74019" w:rsidP="00FB407F">
      <w:pPr>
        <w:jc w:val="center"/>
      </w:pPr>
      <w:r>
        <w:rPr>
          <w:vertAlign w:val="superscript"/>
        </w:rPr>
        <w:t xml:space="preserve">2 </w:t>
      </w:r>
      <w:r>
        <w:t>Bistel America, Inc., 3151 Jay St., Santa Clara, CA 95054</w:t>
      </w:r>
    </w:p>
    <w:p w14:paraId="74CEF002" w14:textId="2FCB3443" w:rsidR="00F74019" w:rsidRPr="00F74019" w:rsidRDefault="00956543" w:rsidP="00FB407F">
      <w:pPr>
        <w:jc w:val="center"/>
      </w:pPr>
      <w:hyperlink r:id="rId9" w:history="1">
        <w:r w:rsidR="00F74019" w:rsidRPr="003E4AA4">
          <w:rPr>
            <w:rStyle w:val="Hyperlink"/>
          </w:rPr>
          <w:t>kkgan@bistel.com</w:t>
        </w:r>
      </w:hyperlink>
      <w:r w:rsidR="00F74019">
        <w:t xml:space="preserve"> </w:t>
      </w:r>
      <w:r w:rsidR="003165AF">
        <w:t>(4</w:t>
      </w:r>
      <w:r w:rsidR="00C965EE">
        <w:t>15</w:t>
      </w:r>
      <w:r w:rsidR="003165AF">
        <w:t>)</w:t>
      </w:r>
      <w:r w:rsidR="00C965EE">
        <w:t>42</w:t>
      </w:r>
      <w:r w:rsidR="003165AF">
        <w:t>5-</w:t>
      </w:r>
      <w:r w:rsidR="00C965EE">
        <w:t>4748</w:t>
      </w:r>
    </w:p>
    <w:p w14:paraId="102D5179" w14:textId="77777777" w:rsidR="00CC72AF" w:rsidRDefault="00CC72AF">
      <w:pPr>
        <w:jc w:val="center"/>
      </w:pPr>
    </w:p>
    <w:p w14:paraId="359B5444" w14:textId="77777777" w:rsidR="008F3F03" w:rsidRDefault="008F3F03">
      <w:pPr>
        <w:jc w:val="center"/>
      </w:pPr>
    </w:p>
    <w:p w14:paraId="7541BE52" w14:textId="2E26B800" w:rsidR="008F3F03" w:rsidRDefault="008F3F03" w:rsidP="009F26E3">
      <w:pPr>
        <w:pStyle w:val="Heading2"/>
        <w:tabs>
          <w:tab w:val="left" w:pos="270"/>
        </w:tabs>
        <w:rPr>
          <w:b/>
          <w:smallCaps w:val="0"/>
        </w:rPr>
      </w:pPr>
      <w:r>
        <w:rPr>
          <w:b/>
          <w:smallCaps w:val="0"/>
        </w:rPr>
        <w:t xml:space="preserve">Keywords: </w:t>
      </w:r>
      <w:r w:rsidR="00F74019">
        <w:rPr>
          <w:b/>
          <w:smallCaps w:val="0"/>
        </w:rPr>
        <w:t>eD</w:t>
      </w:r>
      <w:r w:rsidR="007E2A8C">
        <w:rPr>
          <w:b/>
          <w:smallCaps w:val="0"/>
        </w:rPr>
        <w:t>L</w:t>
      </w:r>
      <w:r w:rsidR="00FB407F">
        <w:rPr>
          <w:b/>
          <w:smallCaps w:val="0"/>
        </w:rPr>
        <w:t xml:space="preserve">, </w:t>
      </w:r>
      <w:r w:rsidR="00F74019">
        <w:rPr>
          <w:b/>
          <w:smallCaps w:val="0"/>
        </w:rPr>
        <w:t>FDC</w:t>
      </w:r>
      <w:r w:rsidR="00FB407F">
        <w:rPr>
          <w:b/>
          <w:smallCaps w:val="0"/>
        </w:rPr>
        <w:t xml:space="preserve">, </w:t>
      </w:r>
      <w:r w:rsidR="0084790A">
        <w:rPr>
          <w:b/>
          <w:smallCaps w:val="0"/>
        </w:rPr>
        <w:t>DS</w:t>
      </w:r>
      <w:r w:rsidR="00FB407F">
        <w:rPr>
          <w:b/>
          <w:smallCaps w:val="0"/>
        </w:rPr>
        <w:t xml:space="preserve">, </w:t>
      </w:r>
      <w:r w:rsidR="004362A5">
        <w:rPr>
          <w:b/>
          <w:smallCaps w:val="0"/>
        </w:rPr>
        <w:t>BOB, WOW</w:t>
      </w:r>
      <w:r w:rsidR="004E2249">
        <w:rPr>
          <w:b/>
          <w:smallCaps w:val="0"/>
        </w:rPr>
        <w:t>, FA, FIB</w:t>
      </w:r>
      <w:r w:rsidR="008F1DB0">
        <w:rPr>
          <w:b/>
          <w:smallCaps w:val="0"/>
        </w:rPr>
        <w:t xml:space="preserve">, </w:t>
      </w:r>
      <w:r w:rsidR="00964FAD">
        <w:rPr>
          <w:b/>
          <w:smallCaps w:val="0"/>
        </w:rPr>
        <w:t>TA</w:t>
      </w:r>
      <w:r w:rsidR="00C965EE">
        <w:rPr>
          <w:b/>
          <w:smallCaps w:val="0"/>
        </w:rPr>
        <w:t>, YMS, MA, IM</w:t>
      </w:r>
      <w:r w:rsidR="00DD1AFE">
        <w:rPr>
          <w:b/>
          <w:smallCaps w:val="0"/>
        </w:rPr>
        <w:t>, PSN</w:t>
      </w:r>
    </w:p>
    <w:p w14:paraId="348BD007" w14:textId="5E261007" w:rsidR="009F26E3" w:rsidRPr="009F26E3" w:rsidRDefault="009F26E3" w:rsidP="009F26E3">
      <w:pPr>
        <w:sectPr w:rsidR="009F26E3" w:rsidRPr="009F26E3">
          <w:headerReference w:type="even" r:id="rId10"/>
          <w:headerReference w:type="default" r:id="rId11"/>
          <w:footerReference w:type="even" r:id="rId12"/>
          <w:footerReference w:type="default" r:id="rId13"/>
          <w:headerReference w:type="first" r:id="rId14"/>
          <w:footerReference w:type="first" r:id="rId15"/>
          <w:pgSz w:w="12240" w:h="15840" w:code="1"/>
          <w:pgMar w:top="1440" w:right="1008" w:bottom="1440" w:left="1008" w:header="720" w:footer="720" w:gutter="0"/>
          <w:paperSrc w:first="1" w:other="1"/>
          <w:cols w:space="720"/>
        </w:sectPr>
      </w:pPr>
    </w:p>
    <w:p w14:paraId="1058F23C" w14:textId="77777777" w:rsidR="009F26E3" w:rsidRDefault="009F26E3">
      <w:pPr>
        <w:pStyle w:val="Heading2"/>
        <w:tabs>
          <w:tab w:val="left" w:pos="270"/>
        </w:tabs>
        <w:rPr>
          <w:b/>
          <w:smallCaps w:val="0"/>
          <w:sz w:val="22"/>
        </w:rPr>
      </w:pPr>
    </w:p>
    <w:p w14:paraId="72B86E23" w14:textId="762F5190" w:rsidR="008F3F03" w:rsidRPr="006409A0" w:rsidRDefault="008F3F03">
      <w:pPr>
        <w:pStyle w:val="Heading2"/>
        <w:tabs>
          <w:tab w:val="left" w:pos="270"/>
        </w:tabs>
        <w:rPr>
          <w:b/>
          <w:smallCaps w:val="0"/>
          <w:sz w:val="22"/>
        </w:rPr>
      </w:pPr>
      <w:r w:rsidRPr="006409A0">
        <w:rPr>
          <w:b/>
          <w:smallCaps w:val="0"/>
          <w:sz w:val="22"/>
        </w:rPr>
        <w:t>Abstract</w:t>
      </w:r>
      <w:r w:rsidR="00601F3A" w:rsidRPr="006409A0">
        <w:rPr>
          <w:b/>
          <w:smallCaps w:val="0"/>
          <w:sz w:val="22"/>
        </w:rPr>
        <w:t xml:space="preserve"> </w:t>
      </w:r>
    </w:p>
    <w:p w14:paraId="28662D80" w14:textId="77777777" w:rsidR="0084790A" w:rsidRDefault="0084790A" w:rsidP="0084790A"/>
    <w:p w14:paraId="72EC59D8" w14:textId="61C35EC4" w:rsidR="008F3F03" w:rsidRDefault="00DF280E" w:rsidP="00FE0441">
      <w:pPr>
        <w:jc w:val="both"/>
        <w:rPr>
          <w:b/>
        </w:rPr>
      </w:pPr>
      <w:r>
        <w:rPr>
          <w:b/>
        </w:rPr>
        <w:t>A</w:t>
      </w:r>
      <w:r w:rsidR="006172F3">
        <w:rPr>
          <w:b/>
        </w:rPr>
        <w:t xml:space="preserve"> die sort (DS) yield loss forming a ‘starburst’ pattern in a wafermap was observed</w:t>
      </w:r>
      <w:r w:rsidRPr="00DF280E">
        <w:rPr>
          <w:b/>
        </w:rPr>
        <w:t xml:space="preserve"> </w:t>
      </w:r>
      <w:r>
        <w:rPr>
          <w:b/>
        </w:rPr>
        <w:t>in a pHEMT technology manufactured by Qorvo</w:t>
      </w:r>
      <w:r w:rsidR="006172F3">
        <w:rPr>
          <w:b/>
        </w:rPr>
        <w:t>. Typical data analysis performed by yield engineers was unable to c</w:t>
      </w:r>
      <w:r>
        <w:rPr>
          <w:b/>
        </w:rPr>
        <w:t>orrelate</w:t>
      </w:r>
      <w:r w:rsidR="006172F3">
        <w:rPr>
          <w:b/>
        </w:rPr>
        <w:t xml:space="preserve"> the failure root cause to a specific process step. To help drive to root cause, Bistel was consulted on the use of eDataLyzer (eDL) software</w:t>
      </w:r>
      <w:r w:rsidR="003165AF">
        <w:rPr>
          <w:b/>
        </w:rPr>
        <w:t>.</w:t>
      </w:r>
    </w:p>
    <w:p w14:paraId="7FED56EB" w14:textId="4F2C7D37" w:rsidR="003165AF" w:rsidRDefault="003165AF" w:rsidP="00FE0441">
      <w:pPr>
        <w:jc w:val="both"/>
        <w:rPr>
          <w:b/>
        </w:rPr>
      </w:pPr>
    </w:p>
    <w:p w14:paraId="5EBCEBF0" w14:textId="348C7ED7" w:rsidR="006172F3" w:rsidRPr="006172F3" w:rsidRDefault="006172F3" w:rsidP="006172F3">
      <w:pPr>
        <w:jc w:val="both"/>
        <w:rPr>
          <w:b/>
        </w:rPr>
      </w:pPr>
      <w:r w:rsidRPr="006172F3">
        <w:rPr>
          <w:b/>
        </w:rPr>
        <w:t>This paper will describe the ‘starburst’ DS yield loss pattern in detail</w:t>
      </w:r>
      <w:r w:rsidR="00DF280E">
        <w:rPr>
          <w:b/>
        </w:rPr>
        <w:t>s</w:t>
      </w:r>
      <w:r w:rsidRPr="006172F3">
        <w:rPr>
          <w:b/>
        </w:rPr>
        <w:t xml:space="preserve">, followed by the application of Bistel’s eDL software combined with process tool Fault Detection and Correlation (FDC), and </w:t>
      </w:r>
      <w:r w:rsidR="00DF280E">
        <w:rPr>
          <w:b/>
        </w:rPr>
        <w:t>end with</w:t>
      </w:r>
      <w:r w:rsidRPr="006172F3">
        <w:rPr>
          <w:b/>
        </w:rPr>
        <w:t xml:space="preserve"> </w:t>
      </w:r>
      <w:r>
        <w:rPr>
          <w:b/>
        </w:rPr>
        <w:t xml:space="preserve">the </w:t>
      </w:r>
      <w:r w:rsidRPr="006172F3">
        <w:rPr>
          <w:b/>
        </w:rPr>
        <w:t>validation of the failure mode</w:t>
      </w:r>
      <w:r w:rsidR="00DF280E">
        <w:rPr>
          <w:b/>
        </w:rPr>
        <w:t>.</w:t>
      </w:r>
    </w:p>
    <w:p w14:paraId="703FA535" w14:textId="77777777" w:rsidR="008F3F03" w:rsidRDefault="008F3F03">
      <w:pPr>
        <w:pStyle w:val="BodyText2"/>
        <w:rPr>
          <w:b/>
        </w:rPr>
      </w:pPr>
    </w:p>
    <w:p w14:paraId="54B1D844" w14:textId="77777777" w:rsidR="008F3F03" w:rsidRPr="00F66E71" w:rsidRDefault="008F3F03" w:rsidP="0084790A">
      <w:pPr>
        <w:pStyle w:val="Heading2"/>
        <w:rPr>
          <w:sz w:val="22"/>
        </w:rPr>
      </w:pPr>
      <w:r w:rsidRPr="00F66E71">
        <w:rPr>
          <w:sz w:val="22"/>
        </w:rPr>
        <w:t>Introduction</w:t>
      </w:r>
      <w:r w:rsidR="00601F3A" w:rsidRPr="00F66E71">
        <w:rPr>
          <w:sz w:val="22"/>
        </w:rPr>
        <w:t xml:space="preserve"> </w:t>
      </w:r>
    </w:p>
    <w:p w14:paraId="45C285D7" w14:textId="77777777" w:rsidR="0084790A" w:rsidRPr="0084790A" w:rsidRDefault="0084790A" w:rsidP="0084790A"/>
    <w:p w14:paraId="7C960C33" w14:textId="4D271A8D" w:rsidR="00C10F2F" w:rsidRDefault="00DF280E" w:rsidP="00F00E8F">
      <w:pPr>
        <w:pStyle w:val="BodyText2"/>
        <w:tabs>
          <w:tab w:val="left" w:pos="270"/>
        </w:tabs>
      </w:pPr>
      <w:r>
        <w:t>During</w:t>
      </w:r>
      <w:r w:rsidR="00054C87">
        <w:t xml:space="preserve"> the </w:t>
      </w:r>
      <w:r w:rsidR="006172F3">
        <w:t xml:space="preserve">manufacturing </w:t>
      </w:r>
      <w:r w:rsidR="00054C87">
        <w:t>launch of a ne</w:t>
      </w:r>
      <w:r w:rsidR="006172F3">
        <w:t>xt</w:t>
      </w:r>
      <w:r w:rsidR="00054C87">
        <w:t xml:space="preserve"> generation PhEMT technology, </w:t>
      </w:r>
      <w:r w:rsidR="006172F3">
        <w:t xml:space="preserve">a DS yield loss trend with a specific pattern, termed as ‘starburst’ is shown in Fig. 1. The yield loss was observed systematically across every wafer within a fab lot. </w:t>
      </w:r>
      <w:r w:rsidR="00B355D5">
        <w:t>However, n</w:t>
      </w:r>
      <w:r w:rsidR="006172F3">
        <w:t>ot every lot was impacted</w:t>
      </w:r>
      <w:r w:rsidR="00B355D5">
        <w:t xml:space="preserve">. </w:t>
      </w:r>
    </w:p>
    <w:p w14:paraId="16FDE6E0" w14:textId="77777777" w:rsidR="006172F3" w:rsidRDefault="006172F3" w:rsidP="00F00E8F">
      <w:pPr>
        <w:pStyle w:val="BodyText2"/>
        <w:tabs>
          <w:tab w:val="left" w:pos="270"/>
        </w:tabs>
      </w:pPr>
    </w:p>
    <w:p w14:paraId="5DC8E928" w14:textId="590BE5C9" w:rsidR="006172F3" w:rsidRDefault="006172F3" w:rsidP="006172F3">
      <w:pPr>
        <w:jc w:val="both"/>
      </w:pPr>
      <w:r>
        <w:t>Failure analysis and focused ion beam (FIB) cross sectioning found that underetched nitride in a non-obvious interaction   between the nitride film and etch process. Thus, the data analysis focused on the steps forming the gate layer.  Best-of-best (BOB) and worst-of-worst (WOW) lots were selected, and a tool commonality analysis was performed. Th</w:t>
      </w:r>
      <w:r w:rsidR="00B355D5">
        <w:t>e</w:t>
      </w:r>
      <w:r>
        <w:t xml:space="preserve"> analysis did not point to the root cause as there were critical processing steps </w:t>
      </w:r>
      <w:r w:rsidR="00B839CA">
        <w:t xml:space="preserve">on </w:t>
      </w:r>
      <w:r>
        <w:t>single-point tools</w:t>
      </w:r>
      <w:r w:rsidR="00410310">
        <w:t xml:space="preserve"> in the flow</w:t>
      </w:r>
      <w:r>
        <w:t xml:space="preserve">. This forced commonality confounded the final resolution. To dig deeper, Bistel was consulted to explore the application of eDL </w:t>
      </w:r>
      <w:r>
        <w:rPr>
          <w:vertAlign w:val="superscript"/>
        </w:rPr>
        <w:t>[1]</w:t>
      </w:r>
      <w:r>
        <w:t>. Bistel is a supplier to Qorvo and eDL has been deployed in</w:t>
      </w:r>
      <w:r w:rsidR="00B355D5">
        <w:t>ternal in</w:t>
      </w:r>
      <w:r>
        <w:t xml:space="preserve"> </w:t>
      </w:r>
      <w:r w:rsidR="00B355D5">
        <w:t xml:space="preserve">Qorvo fabs. </w:t>
      </w:r>
    </w:p>
    <w:p w14:paraId="7FA579EC" w14:textId="77777777" w:rsidR="006172F3" w:rsidRDefault="006172F3" w:rsidP="006172F3">
      <w:pPr>
        <w:jc w:val="both"/>
      </w:pPr>
    </w:p>
    <w:p w14:paraId="0A433D23" w14:textId="77777777" w:rsidR="006172F3" w:rsidRDefault="006172F3" w:rsidP="006172F3">
      <w:pPr>
        <w:jc w:val="both"/>
      </w:pPr>
      <w:r w:rsidRPr="00F22430">
        <w:t>This paper will de</w:t>
      </w:r>
      <w:r>
        <w:t>tail</w:t>
      </w:r>
      <w:r w:rsidRPr="00F22430">
        <w:t xml:space="preserve"> </w:t>
      </w:r>
      <w:r>
        <w:t xml:space="preserve">how eDL was applied to help break the forced commonality due to the tools and to gather additional information into the nitride deposition and subsequent etch. </w:t>
      </w:r>
    </w:p>
    <w:p w14:paraId="299921E1" w14:textId="72B57F24" w:rsidR="00F22430" w:rsidRDefault="00F22430" w:rsidP="00F22430">
      <w:pPr>
        <w:jc w:val="both"/>
      </w:pPr>
    </w:p>
    <w:p w14:paraId="61F7D28A" w14:textId="77777777" w:rsidR="006172F3" w:rsidRDefault="006172F3" w:rsidP="005D1665">
      <w:pPr>
        <w:pStyle w:val="Heading2"/>
        <w:rPr>
          <w:b/>
          <w:bCs/>
        </w:rPr>
      </w:pPr>
      <w:r w:rsidRPr="00FB1A00">
        <w:rPr>
          <w:noProof/>
        </w:rPr>
        <w:drawing>
          <wp:inline distT="0" distB="0" distL="0" distR="0" wp14:anchorId="2E13925D" wp14:editId="771A898F">
            <wp:extent cx="3108960" cy="2202815"/>
            <wp:effectExtent l="38100" t="38100" r="34290" b="45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08960" cy="2202815"/>
                    </a:xfrm>
                    <a:prstGeom prst="rect">
                      <a:avLst/>
                    </a:prstGeom>
                    <a:ln w="34925">
                      <a:solidFill>
                        <a:schemeClr val="accent1"/>
                      </a:solidFill>
                    </a:ln>
                  </pic:spPr>
                </pic:pic>
              </a:graphicData>
            </a:graphic>
          </wp:inline>
        </w:drawing>
      </w:r>
    </w:p>
    <w:p w14:paraId="6751B7AD" w14:textId="2E1BA21B" w:rsidR="006172F3" w:rsidRPr="00F66E71" w:rsidRDefault="00F66E71" w:rsidP="006172F3">
      <w:pPr>
        <w:pStyle w:val="BodyText2"/>
        <w:tabs>
          <w:tab w:val="left" w:pos="270"/>
        </w:tabs>
        <w:jc w:val="center"/>
        <w:rPr>
          <w:bCs/>
        </w:rPr>
      </w:pPr>
      <w:r>
        <w:rPr>
          <w:bCs/>
        </w:rPr>
        <w:t>FIGURE</w:t>
      </w:r>
      <w:r w:rsidR="006172F3" w:rsidRPr="00F66E71">
        <w:rPr>
          <w:bCs/>
        </w:rPr>
        <w:t xml:space="preserve"> 1: DS Yield Loss Issue with ‘Starburst’ Pattern</w:t>
      </w:r>
    </w:p>
    <w:p w14:paraId="009AA88A" w14:textId="77777777" w:rsidR="006172F3" w:rsidRDefault="006172F3" w:rsidP="005D1665">
      <w:pPr>
        <w:pStyle w:val="Heading2"/>
        <w:rPr>
          <w:b/>
          <w:bCs/>
        </w:rPr>
      </w:pPr>
    </w:p>
    <w:p w14:paraId="37DB7014" w14:textId="7B54D5CA" w:rsidR="00F22430" w:rsidRPr="00F66E71" w:rsidRDefault="00F22430" w:rsidP="005D1665">
      <w:pPr>
        <w:pStyle w:val="Heading2"/>
        <w:rPr>
          <w:bCs/>
        </w:rPr>
      </w:pPr>
      <w:r w:rsidRPr="00F66E71">
        <w:rPr>
          <w:bCs/>
        </w:rPr>
        <w:t xml:space="preserve">eDataLyzer </w:t>
      </w:r>
      <w:r w:rsidR="004821E6" w:rsidRPr="00F66E71">
        <w:rPr>
          <w:bCs/>
        </w:rPr>
        <w:t>OVERVIEW</w:t>
      </w:r>
    </w:p>
    <w:p w14:paraId="558707AA" w14:textId="383DE75D" w:rsidR="004821E6" w:rsidRDefault="004821E6" w:rsidP="004821E6"/>
    <w:p w14:paraId="11664C9B" w14:textId="3363FB7E" w:rsidR="009F26E3" w:rsidRDefault="009F26E3" w:rsidP="009F26E3">
      <w:pPr>
        <w:jc w:val="both"/>
      </w:pPr>
      <w:r>
        <w:t>eDataLyzer is an analytic product platform developed by Bistel. It can combine process tool FDC data with wafer yield data</w:t>
      </w:r>
      <w:r w:rsidR="008179AF">
        <w:t xml:space="preserve"> (i.e. with YMS data, typically comprise of Yield, Etest, Defect and Metrology) </w:t>
      </w:r>
      <w:r>
        <w:t>into one platform</w:t>
      </w:r>
      <w:r w:rsidR="008179AF">
        <w:t xml:space="preserve"> to perform FDC Full (every process recipe step) Trace Analytic and </w:t>
      </w:r>
      <w:r>
        <w:t>search for correlations. This automated method is more efficient on resolving a yield excursion than traditional analysis approach typical in yield engineering roles. Table 1 illustrates a sample analysis difference between classical yield analysis and eDL application</w:t>
      </w:r>
      <w:r>
        <w:rPr>
          <w:vertAlign w:val="superscript"/>
        </w:rPr>
        <w:t xml:space="preserve"> [2]</w:t>
      </w:r>
      <w:r>
        <w:t xml:space="preserve">. </w:t>
      </w:r>
    </w:p>
    <w:p w14:paraId="463CD92E" w14:textId="276485FE" w:rsidR="004821E6" w:rsidRDefault="004821E6" w:rsidP="004821E6"/>
    <w:p w14:paraId="56751CC4" w14:textId="7397377C" w:rsidR="004821E6" w:rsidRPr="00F66E71" w:rsidRDefault="00F66E71" w:rsidP="00F66E71">
      <w:pPr>
        <w:jc w:val="center"/>
        <w:rPr>
          <w:bCs/>
          <w:sz w:val="18"/>
          <w:szCs w:val="18"/>
        </w:rPr>
      </w:pPr>
      <w:r>
        <w:rPr>
          <w:bCs/>
          <w:sz w:val="18"/>
          <w:szCs w:val="18"/>
        </w:rPr>
        <w:t>TABLE</w:t>
      </w:r>
      <w:r w:rsidR="004821E6" w:rsidRPr="00F66E71">
        <w:rPr>
          <w:bCs/>
          <w:sz w:val="18"/>
          <w:szCs w:val="18"/>
        </w:rPr>
        <w:t xml:space="preserve"> 1. Comparison between classical yield analysis and eDL</w:t>
      </w:r>
    </w:p>
    <w:tbl>
      <w:tblPr>
        <w:tblW w:w="0" w:type="auto"/>
        <w:tblBorders>
          <w:top w:val="single" w:sz="8" w:space="0" w:color="0D47A1"/>
          <w:left w:val="single" w:sz="8" w:space="0" w:color="0D47A1"/>
          <w:bottom w:val="single" w:sz="8" w:space="0" w:color="0D47A1"/>
          <w:right w:val="single" w:sz="8" w:space="0" w:color="0D47A1"/>
          <w:insideH w:val="single" w:sz="6" w:space="0" w:color="0D47A1"/>
          <w:insideV w:val="single" w:sz="6" w:space="0" w:color="0D47A1"/>
        </w:tblBorders>
        <w:tblCellMar>
          <w:left w:w="0" w:type="dxa"/>
          <w:right w:w="0" w:type="dxa"/>
        </w:tblCellMar>
        <w:tblLook w:val="0420" w:firstRow="1" w:lastRow="0" w:firstColumn="0" w:lastColumn="0" w:noHBand="0" w:noVBand="1"/>
      </w:tblPr>
      <w:tblGrid>
        <w:gridCol w:w="1250"/>
        <w:gridCol w:w="2250"/>
        <w:gridCol w:w="1376"/>
      </w:tblGrid>
      <w:tr w:rsidR="004821E6" w:rsidRPr="004821E6" w14:paraId="59F414E1" w14:textId="77777777" w:rsidTr="008179AF">
        <w:trPr>
          <w:trHeight w:val="929"/>
        </w:trPr>
        <w:tc>
          <w:tcPr>
            <w:tcW w:w="1250" w:type="dxa"/>
            <w:shd w:val="clear" w:color="auto" w:fill="E9F0FD"/>
            <w:tcMar>
              <w:top w:w="68" w:type="dxa"/>
              <w:left w:w="136" w:type="dxa"/>
              <w:bottom w:w="68" w:type="dxa"/>
              <w:right w:w="136" w:type="dxa"/>
            </w:tcMar>
            <w:vAlign w:val="center"/>
            <w:hideMark/>
          </w:tcPr>
          <w:p w14:paraId="140EDA5C" w14:textId="17E3953C" w:rsidR="004821E6" w:rsidRPr="009F26E3" w:rsidRDefault="004821E6" w:rsidP="004821E6">
            <w:pPr>
              <w:rPr>
                <w:b/>
                <w:bCs/>
              </w:rPr>
            </w:pPr>
            <w:r w:rsidRPr="009F26E3">
              <w:rPr>
                <w:b/>
                <w:bCs/>
              </w:rPr>
              <w:t>Customer</w:t>
            </w:r>
            <w:r w:rsidR="008179AF">
              <w:rPr>
                <w:b/>
                <w:bCs/>
              </w:rPr>
              <w:t xml:space="preserve"> (200 &amp;300mm fab)</w:t>
            </w:r>
          </w:p>
        </w:tc>
        <w:tc>
          <w:tcPr>
            <w:tcW w:w="2250" w:type="dxa"/>
            <w:shd w:val="clear" w:color="auto" w:fill="E9F0FD"/>
            <w:tcMar>
              <w:top w:w="68" w:type="dxa"/>
              <w:left w:w="136" w:type="dxa"/>
              <w:bottom w:w="68" w:type="dxa"/>
              <w:right w:w="136" w:type="dxa"/>
            </w:tcMar>
            <w:vAlign w:val="center"/>
            <w:hideMark/>
          </w:tcPr>
          <w:p w14:paraId="18DBBAF7" w14:textId="77777777" w:rsidR="004821E6" w:rsidRPr="009F26E3" w:rsidRDefault="004821E6" w:rsidP="004821E6">
            <w:pPr>
              <w:rPr>
                <w:b/>
                <w:bCs/>
              </w:rPr>
            </w:pPr>
            <w:r w:rsidRPr="009F26E3">
              <w:rPr>
                <w:b/>
                <w:bCs/>
              </w:rPr>
              <w:t>Time to Root Cause Identification</w:t>
            </w:r>
          </w:p>
          <w:p w14:paraId="40A04A68" w14:textId="77777777" w:rsidR="004821E6" w:rsidRPr="009F26E3" w:rsidRDefault="004821E6" w:rsidP="004821E6">
            <w:pPr>
              <w:rPr>
                <w:b/>
                <w:bCs/>
              </w:rPr>
            </w:pPr>
            <w:r w:rsidRPr="009F26E3">
              <w:rPr>
                <w:b/>
                <w:bCs/>
              </w:rPr>
              <w:t>(TTRCI) for Traditional Method</w:t>
            </w:r>
          </w:p>
        </w:tc>
        <w:tc>
          <w:tcPr>
            <w:tcW w:w="1376" w:type="dxa"/>
            <w:shd w:val="clear" w:color="auto" w:fill="E9F0FD"/>
            <w:tcMar>
              <w:top w:w="68" w:type="dxa"/>
              <w:left w:w="136" w:type="dxa"/>
              <w:bottom w:w="68" w:type="dxa"/>
              <w:right w:w="136" w:type="dxa"/>
            </w:tcMar>
            <w:vAlign w:val="center"/>
            <w:hideMark/>
          </w:tcPr>
          <w:p w14:paraId="605345DB" w14:textId="77777777" w:rsidR="004821E6" w:rsidRPr="009F26E3" w:rsidRDefault="004821E6" w:rsidP="004821E6">
            <w:pPr>
              <w:rPr>
                <w:b/>
                <w:bCs/>
              </w:rPr>
            </w:pPr>
            <w:r w:rsidRPr="009F26E3">
              <w:rPr>
                <w:b/>
                <w:bCs/>
              </w:rPr>
              <w:t>TTRCI using</w:t>
            </w:r>
          </w:p>
          <w:p w14:paraId="75ABC6BC" w14:textId="2A4C8D67" w:rsidR="004821E6" w:rsidRPr="009F26E3" w:rsidRDefault="004821E6" w:rsidP="004821E6">
            <w:pPr>
              <w:rPr>
                <w:b/>
                <w:bCs/>
              </w:rPr>
            </w:pPr>
            <w:r w:rsidRPr="009F26E3">
              <w:rPr>
                <w:b/>
                <w:bCs/>
              </w:rPr>
              <w:t>BISTel MA + IM</w:t>
            </w:r>
            <w:r w:rsidR="00B355D5">
              <w:rPr>
                <w:b/>
                <w:bCs/>
              </w:rPr>
              <w:t>+TA</w:t>
            </w:r>
          </w:p>
        </w:tc>
      </w:tr>
      <w:tr w:rsidR="004821E6" w:rsidRPr="004821E6" w14:paraId="66285885" w14:textId="77777777" w:rsidTr="008179AF">
        <w:trPr>
          <w:trHeight w:val="286"/>
        </w:trPr>
        <w:tc>
          <w:tcPr>
            <w:tcW w:w="1250" w:type="dxa"/>
            <w:shd w:val="clear" w:color="auto" w:fill="auto"/>
            <w:tcMar>
              <w:top w:w="68" w:type="dxa"/>
              <w:left w:w="136" w:type="dxa"/>
              <w:bottom w:w="68" w:type="dxa"/>
              <w:right w:w="136" w:type="dxa"/>
            </w:tcMar>
            <w:vAlign w:val="center"/>
            <w:hideMark/>
          </w:tcPr>
          <w:p w14:paraId="03D1DBE0" w14:textId="77777777" w:rsidR="004821E6" w:rsidRPr="004821E6" w:rsidRDefault="004821E6" w:rsidP="004821E6">
            <w:r w:rsidRPr="004821E6">
              <w:t>A</w:t>
            </w:r>
          </w:p>
        </w:tc>
        <w:tc>
          <w:tcPr>
            <w:tcW w:w="2250" w:type="dxa"/>
            <w:shd w:val="clear" w:color="auto" w:fill="auto"/>
            <w:tcMar>
              <w:top w:w="68" w:type="dxa"/>
              <w:left w:w="136" w:type="dxa"/>
              <w:bottom w:w="68" w:type="dxa"/>
              <w:right w:w="136" w:type="dxa"/>
            </w:tcMar>
            <w:vAlign w:val="center"/>
            <w:hideMark/>
          </w:tcPr>
          <w:p w14:paraId="24ECD593" w14:textId="77777777" w:rsidR="004821E6" w:rsidRPr="004821E6" w:rsidRDefault="004821E6" w:rsidP="004821E6">
            <w:r w:rsidRPr="004821E6">
              <w:t>7 days</w:t>
            </w:r>
          </w:p>
        </w:tc>
        <w:tc>
          <w:tcPr>
            <w:tcW w:w="1376" w:type="dxa"/>
            <w:shd w:val="clear" w:color="auto" w:fill="auto"/>
            <w:tcMar>
              <w:top w:w="68" w:type="dxa"/>
              <w:left w:w="136" w:type="dxa"/>
              <w:bottom w:w="68" w:type="dxa"/>
              <w:right w:w="136" w:type="dxa"/>
            </w:tcMar>
            <w:vAlign w:val="center"/>
            <w:hideMark/>
          </w:tcPr>
          <w:p w14:paraId="2CCA40E5" w14:textId="08FC8C4C" w:rsidR="004821E6" w:rsidRPr="004821E6" w:rsidRDefault="009F26E3" w:rsidP="004821E6">
            <w:r>
              <w:t>&lt;</w:t>
            </w:r>
            <w:r w:rsidR="004821E6" w:rsidRPr="004821E6">
              <w:t xml:space="preserve"> 4 hours</w:t>
            </w:r>
          </w:p>
        </w:tc>
      </w:tr>
      <w:tr w:rsidR="004821E6" w:rsidRPr="004821E6" w14:paraId="0A341C2A" w14:textId="77777777" w:rsidTr="008179AF">
        <w:trPr>
          <w:trHeight w:val="394"/>
        </w:trPr>
        <w:tc>
          <w:tcPr>
            <w:tcW w:w="1250" w:type="dxa"/>
            <w:shd w:val="clear" w:color="auto" w:fill="auto"/>
            <w:tcMar>
              <w:top w:w="68" w:type="dxa"/>
              <w:left w:w="136" w:type="dxa"/>
              <w:bottom w:w="68" w:type="dxa"/>
              <w:right w:w="136" w:type="dxa"/>
            </w:tcMar>
            <w:vAlign w:val="center"/>
            <w:hideMark/>
          </w:tcPr>
          <w:p w14:paraId="34D8E386" w14:textId="77777777" w:rsidR="004821E6" w:rsidRPr="004821E6" w:rsidRDefault="004821E6" w:rsidP="004821E6">
            <w:r w:rsidRPr="004821E6">
              <w:t>B</w:t>
            </w:r>
          </w:p>
        </w:tc>
        <w:tc>
          <w:tcPr>
            <w:tcW w:w="2250" w:type="dxa"/>
            <w:shd w:val="clear" w:color="auto" w:fill="auto"/>
            <w:tcMar>
              <w:top w:w="68" w:type="dxa"/>
              <w:left w:w="136" w:type="dxa"/>
              <w:bottom w:w="68" w:type="dxa"/>
              <w:right w:w="136" w:type="dxa"/>
            </w:tcMar>
            <w:vAlign w:val="center"/>
            <w:hideMark/>
          </w:tcPr>
          <w:p w14:paraId="7F9D5328" w14:textId="77777777" w:rsidR="004821E6" w:rsidRPr="004821E6" w:rsidRDefault="004821E6" w:rsidP="004821E6">
            <w:r w:rsidRPr="004821E6">
              <w:t>3 weeks</w:t>
            </w:r>
          </w:p>
        </w:tc>
        <w:tc>
          <w:tcPr>
            <w:tcW w:w="1376" w:type="dxa"/>
            <w:shd w:val="clear" w:color="auto" w:fill="auto"/>
            <w:tcMar>
              <w:top w:w="68" w:type="dxa"/>
              <w:left w:w="136" w:type="dxa"/>
              <w:bottom w:w="68" w:type="dxa"/>
              <w:right w:w="136" w:type="dxa"/>
            </w:tcMar>
            <w:vAlign w:val="center"/>
            <w:hideMark/>
          </w:tcPr>
          <w:p w14:paraId="518C30AC" w14:textId="470F7AEE" w:rsidR="004821E6" w:rsidRPr="004821E6" w:rsidRDefault="009F26E3" w:rsidP="004821E6">
            <w:r>
              <w:t xml:space="preserve">&lt; </w:t>
            </w:r>
            <w:r w:rsidR="004821E6" w:rsidRPr="004821E6">
              <w:t>4 hours</w:t>
            </w:r>
          </w:p>
        </w:tc>
      </w:tr>
      <w:tr w:rsidR="004821E6" w:rsidRPr="004821E6" w14:paraId="7A8BF3C2" w14:textId="77777777" w:rsidTr="008179AF">
        <w:trPr>
          <w:trHeight w:val="178"/>
        </w:trPr>
        <w:tc>
          <w:tcPr>
            <w:tcW w:w="1250" w:type="dxa"/>
            <w:shd w:val="clear" w:color="auto" w:fill="auto"/>
            <w:tcMar>
              <w:top w:w="68" w:type="dxa"/>
              <w:left w:w="136" w:type="dxa"/>
              <w:bottom w:w="68" w:type="dxa"/>
              <w:right w:w="136" w:type="dxa"/>
            </w:tcMar>
            <w:vAlign w:val="center"/>
            <w:hideMark/>
          </w:tcPr>
          <w:p w14:paraId="0C293D65" w14:textId="08517F66" w:rsidR="004821E6" w:rsidRPr="004821E6" w:rsidRDefault="009F26E3" w:rsidP="004821E6">
            <w:r>
              <w:t>C</w:t>
            </w:r>
          </w:p>
        </w:tc>
        <w:tc>
          <w:tcPr>
            <w:tcW w:w="2250" w:type="dxa"/>
            <w:shd w:val="clear" w:color="auto" w:fill="auto"/>
            <w:tcMar>
              <w:top w:w="68" w:type="dxa"/>
              <w:left w:w="136" w:type="dxa"/>
              <w:bottom w:w="68" w:type="dxa"/>
              <w:right w:w="136" w:type="dxa"/>
            </w:tcMar>
            <w:vAlign w:val="center"/>
            <w:hideMark/>
          </w:tcPr>
          <w:p w14:paraId="2524FFC5" w14:textId="204A1F16" w:rsidR="004821E6" w:rsidRPr="004821E6" w:rsidRDefault="009F26E3" w:rsidP="004821E6">
            <w:r>
              <w:t>&gt;4 weeks</w:t>
            </w:r>
          </w:p>
        </w:tc>
        <w:tc>
          <w:tcPr>
            <w:tcW w:w="1376" w:type="dxa"/>
            <w:shd w:val="clear" w:color="auto" w:fill="auto"/>
            <w:tcMar>
              <w:top w:w="68" w:type="dxa"/>
              <w:left w:w="136" w:type="dxa"/>
              <w:bottom w:w="68" w:type="dxa"/>
              <w:right w:w="136" w:type="dxa"/>
            </w:tcMar>
            <w:vAlign w:val="center"/>
            <w:hideMark/>
          </w:tcPr>
          <w:p w14:paraId="1774E543" w14:textId="67046BF8" w:rsidR="004821E6" w:rsidRPr="004821E6" w:rsidRDefault="009F26E3" w:rsidP="004821E6">
            <w:r>
              <w:t>&lt; 3 hours</w:t>
            </w:r>
          </w:p>
        </w:tc>
      </w:tr>
    </w:tbl>
    <w:p w14:paraId="2CCDA69C" w14:textId="77777777" w:rsidR="004821E6" w:rsidRPr="004821E6" w:rsidRDefault="004821E6" w:rsidP="004821E6"/>
    <w:p w14:paraId="1D197EC4" w14:textId="77777777" w:rsidR="008F1DB0" w:rsidRPr="00F22430" w:rsidRDefault="008F1DB0" w:rsidP="00F22430">
      <w:pPr>
        <w:jc w:val="both"/>
      </w:pPr>
    </w:p>
    <w:p w14:paraId="415A6392" w14:textId="59EF6EC5" w:rsidR="002F265A" w:rsidRPr="00F66E71" w:rsidRDefault="00F6488C">
      <w:pPr>
        <w:pStyle w:val="Heading2"/>
        <w:rPr>
          <w:sz w:val="22"/>
        </w:rPr>
      </w:pPr>
      <w:r w:rsidRPr="00F66E71">
        <w:rPr>
          <w:sz w:val="22"/>
        </w:rPr>
        <w:t>eDL Application on solving ‘starburst’ issue</w:t>
      </w:r>
    </w:p>
    <w:p w14:paraId="4D71832D" w14:textId="3A25C218" w:rsidR="00503957" w:rsidRDefault="00F00E8F" w:rsidP="00182A3F">
      <w:pPr>
        <w:jc w:val="both"/>
      </w:pPr>
      <w:r>
        <w:t xml:space="preserve"> </w:t>
      </w:r>
    </w:p>
    <w:p w14:paraId="727A3922" w14:textId="7424AD7B" w:rsidR="00E90D0C" w:rsidRDefault="00964FAD" w:rsidP="00F6488C">
      <w:pPr>
        <w:pStyle w:val="ListParagraph"/>
        <w:numPr>
          <w:ilvl w:val="0"/>
          <w:numId w:val="22"/>
        </w:numPr>
        <w:jc w:val="both"/>
        <w:rPr>
          <w:b/>
        </w:rPr>
      </w:pPr>
      <w:r>
        <w:rPr>
          <w:b/>
        </w:rPr>
        <w:t>Cause and Effect Analysis</w:t>
      </w:r>
    </w:p>
    <w:p w14:paraId="2FB107B0" w14:textId="73A1EDE9" w:rsidR="00E72EBA" w:rsidRDefault="00F00E8F" w:rsidP="00E72EBA">
      <w:pPr>
        <w:pStyle w:val="ListParagraph"/>
        <w:ind w:left="0"/>
        <w:jc w:val="both"/>
      </w:pPr>
      <w:r>
        <w:t xml:space="preserve"> </w:t>
      </w:r>
    </w:p>
    <w:p w14:paraId="380AB4D0" w14:textId="5CFB6D13" w:rsidR="009F26E3" w:rsidRDefault="009F26E3" w:rsidP="009F26E3">
      <w:pPr>
        <w:jc w:val="both"/>
      </w:pPr>
      <w:r>
        <w:t>Similar to the traditional yield analysis, three BOB and three WOW lots were selected based on DS yield trends. For the ‘starburst’ issue, leakage current trends were targeted. eDL platform has the ability to select ‘</w:t>
      </w:r>
      <w:r w:rsidRPr="00D77F7A">
        <w:rPr>
          <w:b/>
          <w:bCs/>
        </w:rPr>
        <w:t>Cause Variables</w:t>
      </w:r>
      <w:r>
        <w:t>’ (i.e. FDC trace data from critical steps which could potentially cause to yield loss), and ‘</w:t>
      </w:r>
      <w:r w:rsidRPr="00D77F7A">
        <w:rPr>
          <w:b/>
          <w:bCs/>
        </w:rPr>
        <w:t>Effect Variables</w:t>
      </w:r>
      <w:r>
        <w:t xml:space="preserve">’ (i.e. yield and grouping). Since wafer-level traceability </w:t>
      </w:r>
      <w:r w:rsidR="00B355D5">
        <w:t>was</w:t>
      </w:r>
      <w:r>
        <w:t xml:space="preserve"> not available in the fab processing</w:t>
      </w:r>
      <w:r w:rsidR="00B355D5">
        <w:t xml:space="preserve">, </w:t>
      </w:r>
      <w:r>
        <w:t xml:space="preserve">lot-level FDC trace analysis was employed. </w:t>
      </w:r>
    </w:p>
    <w:p w14:paraId="0DC75A7F" w14:textId="77777777" w:rsidR="009F26E3" w:rsidRDefault="009F26E3" w:rsidP="009F26E3">
      <w:pPr>
        <w:jc w:val="both"/>
      </w:pPr>
    </w:p>
    <w:p w14:paraId="33E75FD4" w14:textId="48672F70" w:rsidR="009F26E3" w:rsidRPr="00C965EE" w:rsidRDefault="009F26E3" w:rsidP="009F26E3">
      <w:pPr>
        <w:jc w:val="both"/>
        <w:rPr>
          <w:bCs/>
        </w:rPr>
      </w:pPr>
      <w:r>
        <w:t xml:space="preserve">Once ‘Cause’ and ‘Effect’ was determined, ‘Effect to Cause’ analysis was performed with the results available instantaneously. Like most automated analysis, the smaller scope of the Cause variables, the shorter the analysis time will be. </w:t>
      </w:r>
      <w:r w:rsidR="00C965EE" w:rsidRPr="00C965EE">
        <w:rPr>
          <w:bCs/>
        </w:rPr>
        <w:t>Prior to eDL TA, eDL Intellimine (advanced data mining) helps to narrow down the Cause variables to a few (e.g. few potential problematic process tools) from thousands of Cause variable. Then drilldown to TA on the scoped tools FDC trace variables.</w:t>
      </w:r>
    </w:p>
    <w:p w14:paraId="5DEC25CB" w14:textId="4772B875" w:rsidR="00964FAD" w:rsidRDefault="00964FAD" w:rsidP="006E7A32">
      <w:pPr>
        <w:jc w:val="both"/>
      </w:pPr>
    </w:p>
    <w:p w14:paraId="171B46EF" w14:textId="53DF0BC4" w:rsidR="00964FAD" w:rsidRDefault="00964FAD" w:rsidP="00964FAD">
      <w:pPr>
        <w:pStyle w:val="ListParagraph"/>
        <w:numPr>
          <w:ilvl w:val="0"/>
          <w:numId w:val="22"/>
        </w:numPr>
        <w:jc w:val="both"/>
        <w:rPr>
          <w:b/>
          <w:bCs/>
        </w:rPr>
      </w:pPr>
      <w:r w:rsidRPr="00964FAD">
        <w:rPr>
          <w:b/>
          <w:bCs/>
        </w:rPr>
        <w:t>TA</w:t>
      </w:r>
      <w:r>
        <w:rPr>
          <w:b/>
          <w:bCs/>
        </w:rPr>
        <w:t xml:space="preserve"> Results Observation</w:t>
      </w:r>
    </w:p>
    <w:p w14:paraId="2ED34F0C" w14:textId="77777777" w:rsidR="00964FAD" w:rsidRPr="00964FAD" w:rsidRDefault="00964FAD" w:rsidP="00964FAD">
      <w:pPr>
        <w:pStyle w:val="ListParagraph"/>
        <w:ind w:left="408"/>
        <w:jc w:val="both"/>
        <w:rPr>
          <w:b/>
          <w:bCs/>
        </w:rPr>
      </w:pPr>
    </w:p>
    <w:p w14:paraId="33EA6266" w14:textId="3647AFA1" w:rsidR="00C965EE" w:rsidRDefault="009F26E3" w:rsidP="00C965EE">
      <w:pPr>
        <w:jc w:val="both"/>
        <w:rPr>
          <w:bCs/>
        </w:rPr>
      </w:pPr>
      <w:r>
        <w:t xml:space="preserve">eDL </w:t>
      </w:r>
      <w:r w:rsidR="00C965EE">
        <w:t xml:space="preserve">TA </w:t>
      </w:r>
      <w:r>
        <w:t>will display the effect results sorted by ranking upon ‘Effect to Cause’ analysis.</w:t>
      </w:r>
      <w:r w:rsidR="00C965EE">
        <w:t xml:space="preserve"> </w:t>
      </w:r>
      <w:r w:rsidR="00C965EE" w:rsidRPr="00C965EE">
        <w:rPr>
          <w:bCs/>
        </w:rPr>
        <w:t>The ranking of the potential candidates is sorted by the most significant to least significant deviated Trace feature score: 0 to 1 (Figure 2).</w:t>
      </w:r>
    </w:p>
    <w:p w14:paraId="77299245" w14:textId="10DD58A8" w:rsidR="00C965EE" w:rsidRDefault="00C965EE" w:rsidP="00C965EE">
      <w:pPr>
        <w:jc w:val="both"/>
        <w:rPr>
          <w:bCs/>
        </w:rPr>
      </w:pPr>
    </w:p>
    <w:p w14:paraId="169ED49D" w14:textId="0D98EE26" w:rsidR="00C965EE" w:rsidRDefault="00C965EE" w:rsidP="00C965EE">
      <w:pPr>
        <w:jc w:val="both"/>
        <w:rPr>
          <w:bCs/>
        </w:rPr>
      </w:pPr>
      <w:r>
        <w:rPr>
          <w:noProof/>
        </w:rPr>
        <w:drawing>
          <wp:inline distT="0" distB="0" distL="0" distR="0" wp14:anchorId="0B1502A2" wp14:editId="0492C4EA">
            <wp:extent cx="3108960" cy="1644015"/>
            <wp:effectExtent l="38100" t="38100" r="34290" b="32385"/>
            <wp:docPr id="7" name="Picture 6">
              <a:extLst xmlns:a="http://schemas.openxmlformats.org/drawingml/2006/main">
                <a:ext uri="{FF2B5EF4-FFF2-40B4-BE49-F238E27FC236}">
                  <a16:creationId xmlns:a16="http://schemas.microsoft.com/office/drawing/2014/main" id="{B5E7C4F2-F017-4974-BF17-CE36275A79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B5E7C4F2-F017-4974-BF17-CE36275A7982}"/>
                        </a:ext>
                      </a:extLst>
                    </pic:cNvPr>
                    <pic:cNvPicPr>
                      <a:picLocks noChangeAspect="1"/>
                    </pic:cNvPicPr>
                  </pic:nvPicPr>
                  <pic:blipFill rotWithShape="1">
                    <a:blip r:embed="rId17"/>
                    <a:srcRect l="14097" t="13420" b="5810"/>
                    <a:stretch/>
                  </pic:blipFill>
                  <pic:spPr>
                    <a:xfrm>
                      <a:off x="0" y="0"/>
                      <a:ext cx="3108960" cy="1644015"/>
                    </a:xfrm>
                    <a:prstGeom prst="rect">
                      <a:avLst/>
                    </a:prstGeom>
                    <a:ln w="38100">
                      <a:solidFill>
                        <a:schemeClr val="accent1"/>
                      </a:solidFill>
                    </a:ln>
                  </pic:spPr>
                </pic:pic>
              </a:graphicData>
            </a:graphic>
          </wp:inline>
        </w:drawing>
      </w:r>
    </w:p>
    <w:p w14:paraId="7DD1E6FB" w14:textId="70CADD87" w:rsidR="00C965EE" w:rsidRPr="00F66E71" w:rsidRDefault="00F66E71" w:rsidP="00C965EE">
      <w:pPr>
        <w:jc w:val="center"/>
        <w:rPr>
          <w:bCs/>
        </w:rPr>
      </w:pPr>
      <w:r>
        <w:rPr>
          <w:bCs/>
        </w:rPr>
        <w:t>FIGURE</w:t>
      </w:r>
      <w:r w:rsidR="00C965EE" w:rsidRPr="00F66E71">
        <w:rPr>
          <w:bCs/>
        </w:rPr>
        <w:t xml:space="preserve"> 2. Example of Starburst TA Result Display with Rank and Trace Feature Scores </w:t>
      </w:r>
    </w:p>
    <w:p w14:paraId="3EF4D091" w14:textId="77777777" w:rsidR="00C965EE" w:rsidRPr="00C965EE" w:rsidRDefault="00C965EE" w:rsidP="00C965EE">
      <w:pPr>
        <w:jc w:val="both"/>
        <w:rPr>
          <w:bCs/>
        </w:rPr>
      </w:pPr>
    </w:p>
    <w:p w14:paraId="08FD6A44" w14:textId="5B5C9BA5" w:rsidR="009F26E3" w:rsidRDefault="009F26E3" w:rsidP="009F26E3">
      <w:pPr>
        <w:jc w:val="both"/>
      </w:pPr>
      <w:r>
        <w:t xml:space="preserve"> For the ‘starburst’ issue, etch platen parameters, (e.g. platen DC bias, peak-to-peak voltage etc.), from the single-point etch tool, ranked the highest among the other parameters showing significant difference between the BOB and WOW groups (Figure </w:t>
      </w:r>
      <w:r w:rsidR="00C965EE">
        <w:t>3</w:t>
      </w:r>
      <w:r>
        <w:t>).</w:t>
      </w:r>
    </w:p>
    <w:p w14:paraId="2CDB4016" w14:textId="77777777" w:rsidR="00346534" w:rsidRDefault="00346534" w:rsidP="006E7A32">
      <w:pPr>
        <w:jc w:val="both"/>
      </w:pPr>
    </w:p>
    <w:p w14:paraId="37DF1D63" w14:textId="0BAE592A" w:rsidR="007F5209" w:rsidRDefault="007F5209" w:rsidP="006E7A32">
      <w:pPr>
        <w:jc w:val="both"/>
      </w:pPr>
      <w:r w:rsidRPr="007F5209">
        <w:rPr>
          <w:noProof/>
        </w:rPr>
        <w:drawing>
          <wp:inline distT="0" distB="0" distL="0" distR="0" wp14:anchorId="27E0AA25" wp14:editId="6388A1A6">
            <wp:extent cx="3108960" cy="1893570"/>
            <wp:effectExtent l="38100" t="38100" r="34290" b="304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08960" cy="1893570"/>
                    </a:xfrm>
                    <a:prstGeom prst="rect">
                      <a:avLst/>
                    </a:prstGeom>
                    <a:ln w="34925">
                      <a:solidFill>
                        <a:schemeClr val="accent1"/>
                      </a:solidFill>
                    </a:ln>
                  </pic:spPr>
                </pic:pic>
              </a:graphicData>
            </a:graphic>
          </wp:inline>
        </w:drawing>
      </w:r>
    </w:p>
    <w:p w14:paraId="3A9F5D66" w14:textId="49D3668A" w:rsidR="007F5209" w:rsidRPr="00F66E71" w:rsidRDefault="00F66E71" w:rsidP="007F5209">
      <w:pPr>
        <w:jc w:val="center"/>
        <w:rPr>
          <w:bCs/>
        </w:rPr>
      </w:pPr>
      <w:r>
        <w:rPr>
          <w:bCs/>
        </w:rPr>
        <w:t>FIGURE</w:t>
      </w:r>
      <w:r w:rsidR="007F5209" w:rsidRPr="00F66E71">
        <w:rPr>
          <w:bCs/>
        </w:rPr>
        <w:t xml:space="preserve"> </w:t>
      </w:r>
      <w:r w:rsidR="00C965EE" w:rsidRPr="00F66E71">
        <w:rPr>
          <w:bCs/>
        </w:rPr>
        <w:t>3</w:t>
      </w:r>
      <w:r w:rsidR="007F5209" w:rsidRPr="00F66E71">
        <w:rPr>
          <w:bCs/>
        </w:rPr>
        <w:t>. Comparison between BOB and WOW on Platen DC Bias Signal</w:t>
      </w:r>
    </w:p>
    <w:p w14:paraId="391B0DFE" w14:textId="4A2F9B7E" w:rsidR="004724D6" w:rsidRDefault="00964FAD" w:rsidP="006E7A32">
      <w:pPr>
        <w:jc w:val="both"/>
      </w:pPr>
      <w:r>
        <w:t xml:space="preserve"> </w:t>
      </w:r>
    </w:p>
    <w:p w14:paraId="1D9C30C5" w14:textId="311B14DF" w:rsidR="00131040" w:rsidRDefault="007F5209" w:rsidP="007F5209">
      <w:pPr>
        <w:pStyle w:val="ListParagraph"/>
        <w:numPr>
          <w:ilvl w:val="0"/>
          <w:numId w:val="22"/>
        </w:numPr>
        <w:tabs>
          <w:tab w:val="left" w:pos="270"/>
        </w:tabs>
        <w:rPr>
          <w:b/>
          <w:bCs/>
        </w:rPr>
      </w:pPr>
      <w:r w:rsidRPr="007F5209">
        <w:rPr>
          <w:b/>
          <w:bCs/>
        </w:rPr>
        <w:t>Validation on eDL Analysis Results</w:t>
      </w:r>
    </w:p>
    <w:p w14:paraId="76FC88FF" w14:textId="5120A49C" w:rsidR="007F5209" w:rsidRDefault="007F5209" w:rsidP="007F5209"/>
    <w:p w14:paraId="43309189" w14:textId="2427F40E" w:rsidR="009F26E3" w:rsidRDefault="00A41DA8" w:rsidP="009F26E3">
      <w:pPr>
        <w:jc w:val="both"/>
      </w:pPr>
      <w:r>
        <w:t>Based on the analysis results from eD</w:t>
      </w:r>
      <w:r w:rsidR="00EB71DE">
        <w:t xml:space="preserve">L, </w:t>
      </w:r>
      <w:r w:rsidR="009F26E3">
        <w:t>longer term FDC data was extracted from the specific etch tool. The analysis team discovered that the ‘starburst’ yield loss time periods aligned with abnormal peak-to-peak voltage steps. Further drill down confirmed that the etch tool had an abnormal chuck and peak-to-peak voltage traces recovered after the chuck was replaced</w:t>
      </w:r>
      <w:r w:rsidR="00C965EE">
        <w:t xml:space="preserve"> (Figure 4)</w:t>
      </w:r>
    </w:p>
    <w:p w14:paraId="1A417173" w14:textId="77777777" w:rsidR="00C965EE" w:rsidRDefault="00C965EE" w:rsidP="009F26E3">
      <w:pPr>
        <w:jc w:val="both"/>
      </w:pPr>
    </w:p>
    <w:p w14:paraId="7AE8F457" w14:textId="394BFD13" w:rsidR="00F80494" w:rsidRDefault="00F80494" w:rsidP="00A41DA8">
      <w:pPr>
        <w:jc w:val="both"/>
      </w:pPr>
      <w:r w:rsidRPr="00F80494">
        <w:rPr>
          <w:noProof/>
        </w:rPr>
        <w:drawing>
          <wp:inline distT="0" distB="0" distL="0" distR="0" wp14:anchorId="0796B68E" wp14:editId="75672DA6">
            <wp:extent cx="3108960" cy="719455"/>
            <wp:effectExtent l="38100" t="38100" r="34290" b="425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08960" cy="719455"/>
                    </a:xfrm>
                    <a:prstGeom prst="rect">
                      <a:avLst/>
                    </a:prstGeom>
                    <a:ln w="34925">
                      <a:solidFill>
                        <a:schemeClr val="accent1"/>
                      </a:solidFill>
                    </a:ln>
                  </pic:spPr>
                </pic:pic>
              </a:graphicData>
            </a:graphic>
          </wp:inline>
        </w:drawing>
      </w:r>
    </w:p>
    <w:p w14:paraId="02727804" w14:textId="7035440E" w:rsidR="00F80494" w:rsidRPr="00F66E71" w:rsidRDefault="00F66E71" w:rsidP="00F80494">
      <w:pPr>
        <w:jc w:val="center"/>
        <w:rPr>
          <w:bCs/>
        </w:rPr>
      </w:pPr>
      <w:r>
        <w:rPr>
          <w:bCs/>
        </w:rPr>
        <w:t>FIGURE</w:t>
      </w:r>
      <w:r w:rsidR="00F80494" w:rsidRPr="00F66E71">
        <w:rPr>
          <w:bCs/>
        </w:rPr>
        <w:t xml:space="preserve"> </w:t>
      </w:r>
      <w:r w:rsidR="00C965EE" w:rsidRPr="00F66E71">
        <w:rPr>
          <w:bCs/>
        </w:rPr>
        <w:t>4</w:t>
      </w:r>
      <w:r w:rsidR="00F80494" w:rsidRPr="00F66E71">
        <w:rPr>
          <w:bCs/>
        </w:rPr>
        <w:t>. Platen Peak to Peak Voltage Trend</w:t>
      </w:r>
    </w:p>
    <w:p w14:paraId="2D2D1235" w14:textId="77777777" w:rsidR="00D77F7A" w:rsidRDefault="00D77F7A" w:rsidP="00F80494">
      <w:pPr>
        <w:jc w:val="center"/>
        <w:rPr>
          <w:b/>
          <w:bCs/>
        </w:rPr>
      </w:pPr>
    </w:p>
    <w:p w14:paraId="36E61533" w14:textId="72D2169D" w:rsidR="009F26E3" w:rsidRPr="00346534" w:rsidRDefault="009F26E3" w:rsidP="009F26E3">
      <w:pPr>
        <w:jc w:val="both"/>
      </w:pPr>
      <w:r w:rsidRPr="00346534">
        <w:t xml:space="preserve">To further understand </w:t>
      </w:r>
      <w:r>
        <w:t xml:space="preserve">the issue and have a </w:t>
      </w:r>
      <w:r w:rsidR="00B355D5">
        <w:t>robust</w:t>
      </w:r>
      <w:r>
        <w:t xml:space="preserve"> process, </w:t>
      </w:r>
      <w:r w:rsidR="00DD1AFE">
        <w:t xml:space="preserve">a </w:t>
      </w:r>
      <w:r>
        <w:t>DOE</w:t>
      </w:r>
      <w:r w:rsidR="00DD1AFE">
        <w:t xml:space="preserve"> (Design of Experiment)</w:t>
      </w:r>
      <w:r>
        <w:t xml:space="preserve"> </w:t>
      </w:r>
      <w:r w:rsidR="00F0202E">
        <w:t>w</w:t>
      </w:r>
      <w:r w:rsidR="00DD1AFE">
        <w:t>as</w:t>
      </w:r>
      <w:r w:rsidR="00F0202E">
        <w:t xml:space="preserve"> </w:t>
      </w:r>
      <w:r>
        <w:t>developed to improve process margin</w:t>
      </w:r>
      <w:r w:rsidR="00B355D5">
        <w:t xml:space="preserve">. </w:t>
      </w:r>
      <w:r w:rsidR="00F0202E">
        <w:t xml:space="preserve">It was confirmed that both thicker PSN </w:t>
      </w:r>
      <w:r w:rsidR="00EB71DE">
        <w:t xml:space="preserve">(Silicon Nitride) </w:t>
      </w:r>
      <w:r w:rsidR="00F0202E">
        <w:t>or underetch would cause the issue. A full validation result will be present</w:t>
      </w:r>
      <w:r w:rsidR="00B355D5">
        <w:t>ed</w:t>
      </w:r>
      <w:r w:rsidR="00F0202E">
        <w:t xml:space="preserve"> in the conference. </w:t>
      </w:r>
    </w:p>
    <w:p w14:paraId="09382AA3" w14:textId="77777777" w:rsidR="008F3F03" w:rsidRPr="006E7A32" w:rsidRDefault="008F3F03">
      <w:pPr>
        <w:tabs>
          <w:tab w:val="left" w:pos="270"/>
        </w:tabs>
        <w:jc w:val="both"/>
        <w:rPr>
          <w:b/>
        </w:rPr>
      </w:pPr>
    </w:p>
    <w:p w14:paraId="4AC858BA" w14:textId="77777777" w:rsidR="008F3F03" w:rsidRPr="00F66E71" w:rsidRDefault="008F3F03">
      <w:pPr>
        <w:pStyle w:val="Heading2"/>
      </w:pPr>
      <w:r w:rsidRPr="00F66E71">
        <w:rPr>
          <w:sz w:val="22"/>
        </w:rPr>
        <w:t>Conclusions</w:t>
      </w:r>
    </w:p>
    <w:p w14:paraId="301CF5AE" w14:textId="77777777" w:rsidR="00346534" w:rsidRDefault="00346534">
      <w:pPr>
        <w:pStyle w:val="BodyText2"/>
        <w:tabs>
          <w:tab w:val="left" w:pos="270"/>
        </w:tabs>
      </w:pPr>
    </w:p>
    <w:p w14:paraId="0300A32D" w14:textId="335B7433" w:rsidR="00496C8D" w:rsidRDefault="009F26E3">
      <w:pPr>
        <w:pStyle w:val="BodyText2"/>
        <w:tabs>
          <w:tab w:val="left" w:pos="270"/>
        </w:tabs>
      </w:pPr>
      <w:r>
        <w:t xml:space="preserve">eDL is a very efficient platform to do yield analysis and narrow down the potential contributors quickly. It will save yield engineers significant time compared to analyzing yield data using traditional methods. Additionally, eDL has been shown in this paper to provide the ability to further drive yield enhancement and do it more efficiently. To fully realize the benefits from eDL, it is critical to have FDC configured for all the tools in the fab and set up strategies properly.  </w:t>
      </w:r>
      <w:r w:rsidR="008F3F03">
        <w:tab/>
      </w:r>
    </w:p>
    <w:p w14:paraId="466EC617" w14:textId="08542930" w:rsidR="008F3F03" w:rsidRDefault="00F00E8F">
      <w:pPr>
        <w:tabs>
          <w:tab w:val="left" w:pos="270"/>
        </w:tabs>
        <w:jc w:val="both"/>
        <w:rPr>
          <w:sz w:val="16"/>
        </w:rPr>
      </w:pPr>
      <w:r>
        <w:rPr>
          <w:sz w:val="16"/>
        </w:rPr>
        <w:t xml:space="preserve"> </w:t>
      </w:r>
    </w:p>
    <w:p w14:paraId="22B24B21" w14:textId="77777777" w:rsidR="008F3F03" w:rsidRDefault="00822096" w:rsidP="00822096">
      <w:pPr>
        <w:pStyle w:val="Heading2"/>
      </w:pPr>
      <w:r>
        <w:rPr>
          <w:b/>
        </w:rPr>
        <w:t xml:space="preserve"> </w:t>
      </w:r>
      <w:r w:rsidR="00496C8D">
        <w:rPr>
          <w:sz w:val="16"/>
        </w:rPr>
        <w:tab/>
      </w:r>
    </w:p>
    <w:p w14:paraId="2CF9049C" w14:textId="5BAA05C5" w:rsidR="008F3F03" w:rsidRDefault="008F3F03">
      <w:pPr>
        <w:tabs>
          <w:tab w:val="left" w:pos="270"/>
        </w:tabs>
        <w:jc w:val="both"/>
      </w:pPr>
    </w:p>
    <w:p w14:paraId="24AC2ADD" w14:textId="584CC80C" w:rsidR="00C965EE" w:rsidRDefault="00C965EE">
      <w:pPr>
        <w:tabs>
          <w:tab w:val="left" w:pos="270"/>
        </w:tabs>
        <w:jc w:val="both"/>
      </w:pPr>
    </w:p>
    <w:p w14:paraId="14A35AA4" w14:textId="77777777" w:rsidR="00410310" w:rsidRDefault="00410310">
      <w:pPr>
        <w:tabs>
          <w:tab w:val="left" w:pos="270"/>
        </w:tabs>
        <w:jc w:val="both"/>
      </w:pPr>
    </w:p>
    <w:p w14:paraId="6832A36B" w14:textId="77777777" w:rsidR="008F3F03" w:rsidRPr="00F66E71" w:rsidRDefault="008F3F03">
      <w:pPr>
        <w:pStyle w:val="Heading2"/>
        <w:rPr>
          <w:sz w:val="22"/>
        </w:rPr>
      </w:pPr>
      <w:r w:rsidRPr="00F66E71">
        <w:rPr>
          <w:sz w:val="22"/>
        </w:rPr>
        <w:lastRenderedPageBreak/>
        <w:t>References</w:t>
      </w:r>
    </w:p>
    <w:p w14:paraId="79B43C66" w14:textId="77777777" w:rsidR="00496C8D" w:rsidRPr="00496C8D" w:rsidRDefault="00496C8D" w:rsidP="00496C8D"/>
    <w:p w14:paraId="127E10EA" w14:textId="74CE2678" w:rsidR="008F3F03" w:rsidRDefault="007621FF">
      <w:pPr>
        <w:tabs>
          <w:tab w:val="left" w:pos="270"/>
        </w:tabs>
        <w:ind w:left="270" w:hanging="270"/>
        <w:jc w:val="both"/>
        <w:rPr>
          <w:rStyle w:val="Hyperlink"/>
        </w:rPr>
      </w:pPr>
      <w:r>
        <w:rPr>
          <w:snapToGrid w:val="0"/>
        </w:rPr>
        <w:t xml:space="preserve">[1] </w:t>
      </w:r>
      <w:hyperlink r:id="rId20" w:history="1">
        <w:r w:rsidR="001B5C31">
          <w:rPr>
            <w:rStyle w:val="Hyperlink"/>
          </w:rPr>
          <w:t>https://www.bistel.com/solutions/analyze/edatalyzer/</w:t>
        </w:r>
      </w:hyperlink>
    </w:p>
    <w:p w14:paraId="23A6CFF1" w14:textId="115D7068" w:rsidR="004821E6" w:rsidRPr="004821E6" w:rsidRDefault="004821E6" w:rsidP="004821E6">
      <w:pPr>
        <w:rPr>
          <w:snapToGrid w:val="0"/>
        </w:rPr>
      </w:pPr>
      <w:r w:rsidRPr="004821E6">
        <w:rPr>
          <w:rStyle w:val="Hyperlink"/>
          <w:color w:val="auto"/>
          <w:u w:val="none"/>
        </w:rPr>
        <w:t xml:space="preserve">[2] Internal communication </w:t>
      </w:r>
      <w:r w:rsidR="00D77F7A">
        <w:rPr>
          <w:rStyle w:val="Hyperlink"/>
          <w:color w:val="auto"/>
          <w:u w:val="none"/>
        </w:rPr>
        <w:t xml:space="preserve">between Qorvo and </w:t>
      </w:r>
      <w:r w:rsidRPr="004821E6">
        <w:rPr>
          <w:rStyle w:val="Hyperlink"/>
          <w:color w:val="auto"/>
          <w:u w:val="none"/>
        </w:rPr>
        <w:t>Bistel</w:t>
      </w:r>
    </w:p>
    <w:p w14:paraId="7FA17404" w14:textId="77777777" w:rsidR="008F3F03" w:rsidRPr="0003400E" w:rsidRDefault="008F3F03">
      <w:pPr>
        <w:tabs>
          <w:tab w:val="left" w:pos="270"/>
        </w:tabs>
        <w:ind w:left="270" w:hanging="270"/>
        <w:jc w:val="both"/>
        <w:rPr>
          <w:snapToGrid w:val="0"/>
        </w:rPr>
      </w:pPr>
    </w:p>
    <w:p w14:paraId="6FECBC61" w14:textId="77777777" w:rsidR="0023296F" w:rsidRPr="00F66E71" w:rsidRDefault="0023296F" w:rsidP="0023296F">
      <w:r w:rsidRPr="00F66E71">
        <w:rPr>
          <w:sz w:val="22"/>
        </w:rPr>
        <w:t>ACKNOWLEDGEMENTS</w:t>
      </w:r>
    </w:p>
    <w:p w14:paraId="6803CA0D" w14:textId="77777777" w:rsidR="0023296F" w:rsidRPr="005D44AB" w:rsidRDefault="0023296F" w:rsidP="0023296F"/>
    <w:p w14:paraId="746B3574" w14:textId="387B47FB" w:rsidR="0023296F" w:rsidRDefault="0023296F" w:rsidP="0023296F">
      <w:pPr>
        <w:tabs>
          <w:tab w:val="left" w:pos="270"/>
        </w:tabs>
        <w:jc w:val="both"/>
      </w:pPr>
      <w:r w:rsidRPr="009F4962">
        <w:t>The a</w:t>
      </w:r>
      <w:r>
        <w:t xml:space="preserve">uthors would like to acknowledge the support from </w:t>
      </w:r>
      <w:r w:rsidR="00D76E0C">
        <w:t>yield director Dr. Shailesh Mulgaonker</w:t>
      </w:r>
      <w:r w:rsidR="00410310">
        <w:t xml:space="preserve"> and </w:t>
      </w:r>
      <w:r w:rsidR="00D76E0C">
        <w:t xml:space="preserve">etch manager Dr. Mark Tesauro on investigating and solving the issue. </w:t>
      </w:r>
      <w:r>
        <w:t xml:space="preserve"> </w:t>
      </w:r>
    </w:p>
    <w:p w14:paraId="4FEE9016" w14:textId="77777777" w:rsidR="008F3F03" w:rsidRPr="0003400E" w:rsidRDefault="008F3F03" w:rsidP="007621FF">
      <w:pPr>
        <w:tabs>
          <w:tab w:val="left" w:pos="270"/>
        </w:tabs>
        <w:jc w:val="both"/>
        <w:rPr>
          <w:sz w:val="24"/>
        </w:rPr>
      </w:pPr>
    </w:p>
    <w:p w14:paraId="0E1A7A08" w14:textId="77777777" w:rsidR="008F3F03" w:rsidRDefault="008F3F03">
      <w:pPr>
        <w:tabs>
          <w:tab w:val="left" w:pos="270"/>
        </w:tabs>
        <w:jc w:val="both"/>
      </w:pPr>
    </w:p>
    <w:p w14:paraId="28C836CF" w14:textId="77777777" w:rsidR="008F3F03" w:rsidRPr="00F66E71" w:rsidRDefault="008F3F03">
      <w:pPr>
        <w:tabs>
          <w:tab w:val="left" w:pos="270"/>
        </w:tabs>
        <w:jc w:val="both"/>
        <w:rPr>
          <w:smallCaps/>
          <w:sz w:val="22"/>
        </w:rPr>
      </w:pPr>
      <w:r w:rsidRPr="00F66E71">
        <w:rPr>
          <w:smallCaps/>
          <w:sz w:val="22"/>
        </w:rPr>
        <w:t>Acronyms</w:t>
      </w:r>
    </w:p>
    <w:p w14:paraId="23EB7BFE" w14:textId="77777777" w:rsidR="00496C8D" w:rsidRPr="00F66E71" w:rsidRDefault="00496C8D">
      <w:pPr>
        <w:tabs>
          <w:tab w:val="left" w:pos="270"/>
        </w:tabs>
        <w:jc w:val="both"/>
        <w:rPr>
          <w:smallCaps/>
        </w:rPr>
      </w:pPr>
    </w:p>
    <w:p w14:paraId="63572739" w14:textId="3ABBECD5" w:rsidR="00F74019" w:rsidRPr="00F66E71" w:rsidRDefault="00F74019" w:rsidP="0061085F">
      <w:pPr>
        <w:ind w:left="270"/>
      </w:pPr>
      <w:r w:rsidRPr="00F66E71">
        <w:rPr>
          <w:bCs/>
        </w:rPr>
        <w:t>eDL</w:t>
      </w:r>
      <w:r w:rsidRPr="00F66E71">
        <w:t xml:space="preserve">: </w:t>
      </w:r>
      <w:r w:rsidR="001B5C31" w:rsidRPr="00F66E71">
        <w:t>eDataLyzer</w:t>
      </w:r>
    </w:p>
    <w:p w14:paraId="2AA72D35" w14:textId="38C3DE6C" w:rsidR="00F74019" w:rsidRPr="00F66E71" w:rsidRDefault="00F74019" w:rsidP="0061085F">
      <w:pPr>
        <w:ind w:left="270"/>
      </w:pPr>
      <w:r w:rsidRPr="00F66E71">
        <w:rPr>
          <w:bCs/>
        </w:rPr>
        <w:t>FDC</w:t>
      </w:r>
      <w:r w:rsidRPr="00F66E71">
        <w:t>: Fault Detection and Classification</w:t>
      </w:r>
    </w:p>
    <w:p w14:paraId="1C007C1E" w14:textId="7C805C05" w:rsidR="0061085F" w:rsidRPr="00F66E71" w:rsidRDefault="0061085F" w:rsidP="0061085F">
      <w:pPr>
        <w:ind w:left="270"/>
      </w:pPr>
      <w:r w:rsidRPr="00F66E71">
        <w:rPr>
          <w:bCs/>
        </w:rPr>
        <w:t>DS</w:t>
      </w:r>
      <w:r w:rsidRPr="00F66E71">
        <w:t>: Die Sort</w:t>
      </w:r>
    </w:p>
    <w:p w14:paraId="5F9B8152" w14:textId="0CB7084F" w:rsidR="004362A5" w:rsidRPr="00F66E71" w:rsidRDefault="004362A5" w:rsidP="0061085F">
      <w:pPr>
        <w:ind w:firstLine="270"/>
      </w:pPr>
      <w:r w:rsidRPr="00F66E71">
        <w:rPr>
          <w:bCs/>
        </w:rPr>
        <w:t>BOB</w:t>
      </w:r>
      <w:r w:rsidRPr="00F66E71">
        <w:t>: Best of Best</w:t>
      </w:r>
    </w:p>
    <w:p w14:paraId="64C6861B" w14:textId="14A7CF91" w:rsidR="004362A5" w:rsidRPr="00F66E71" w:rsidRDefault="004362A5" w:rsidP="0061085F">
      <w:pPr>
        <w:ind w:firstLine="270"/>
      </w:pPr>
      <w:r w:rsidRPr="00F66E71">
        <w:rPr>
          <w:bCs/>
        </w:rPr>
        <w:t>WOW</w:t>
      </w:r>
      <w:r w:rsidRPr="00F66E71">
        <w:t>: Worst of Worst</w:t>
      </w:r>
    </w:p>
    <w:p w14:paraId="04D2B157" w14:textId="58E1E33A" w:rsidR="004E2249" w:rsidRPr="00F66E71" w:rsidRDefault="004E2249" w:rsidP="0061085F">
      <w:pPr>
        <w:ind w:firstLine="270"/>
      </w:pPr>
      <w:r w:rsidRPr="00F66E71">
        <w:rPr>
          <w:bCs/>
        </w:rPr>
        <w:t>FA</w:t>
      </w:r>
      <w:r w:rsidRPr="00F66E71">
        <w:t>: Failure Analysis</w:t>
      </w:r>
    </w:p>
    <w:p w14:paraId="6CD710F8" w14:textId="248BAD6B" w:rsidR="004E2249" w:rsidRPr="00F66E71" w:rsidRDefault="004E2249" w:rsidP="0061085F">
      <w:pPr>
        <w:ind w:firstLine="270"/>
      </w:pPr>
      <w:r w:rsidRPr="00F66E71">
        <w:rPr>
          <w:bCs/>
        </w:rPr>
        <w:t>FIB</w:t>
      </w:r>
      <w:r w:rsidRPr="00F66E71">
        <w:t xml:space="preserve">: </w:t>
      </w:r>
      <w:r w:rsidR="00F22430" w:rsidRPr="00F66E71">
        <w:t>Focused Ion Beam</w:t>
      </w:r>
    </w:p>
    <w:p w14:paraId="43984A6A" w14:textId="78EA6DBE" w:rsidR="00964FAD" w:rsidRPr="00F66E71" w:rsidRDefault="00964FAD" w:rsidP="0061085F">
      <w:pPr>
        <w:ind w:firstLine="270"/>
      </w:pPr>
      <w:r w:rsidRPr="00F66E71">
        <w:rPr>
          <w:bCs/>
        </w:rPr>
        <w:t>TA</w:t>
      </w:r>
      <w:r w:rsidRPr="00F66E71">
        <w:t xml:space="preserve">: Trace Analysis </w:t>
      </w:r>
    </w:p>
    <w:p w14:paraId="5C8819F5" w14:textId="7BF52105" w:rsidR="008A39DD" w:rsidRPr="00F66E71" w:rsidRDefault="00346534" w:rsidP="0061085F">
      <w:pPr>
        <w:ind w:firstLine="270"/>
      </w:pPr>
      <w:r w:rsidRPr="00F66E71">
        <w:rPr>
          <w:bCs/>
        </w:rPr>
        <w:t>DOE</w:t>
      </w:r>
      <w:r w:rsidRPr="00F66E71">
        <w:t>: Design of Experiment</w:t>
      </w:r>
    </w:p>
    <w:p w14:paraId="0600BAA0" w14:textId="229E0407" w:rsidR="00C965EE" w:rsidRPr="00F66E71" w:rsidRDefault="00C965EE" w:rsidP="0061085F">
      <w:pPr>
        <w:ind w:firstLine="270"/>
      </w:pPr>
      <w:r w:rsidRPr="00F66E71">
        <w:rPr>
          <w:bCs/>
        </w:rPr>
        <w:t xml:space="preserve">YMS : </w:t>
      </w:r>
      <w:r w:rsidRPr="00F66E71">
        <w:t>Yield Management System</w:t>
      </w:r>
    </w:p>
    <w:p w14:paraId="2F1BF8DE" w14:textId="6F3910BF" w:rsidR="00C965EE" w:rsidRPr="00F66E71" w:rsidRDefault="000566F1" w:rsidP="0061085F">
      <w:pPr>
        <w:ind w:firstLine="270"/>
      </w:pPr>
      <w:r w:rsidRPr="00F66E71">
        <w:rPr>
          <w:bCs/>
        </w:rPr>
        <w:t>MA</w:t>
      </w:r>
      <w:r w:rsidRPr="00F66E71">
        <w:t>:</w:t>
      </w:r>
      <w:r w:rsidR="00B355D5" w:rsidRPr="00F66E71">
        <w:t xml:space="preserve"> Map Analytic</w:t>
      </w:r>
    </w:p>
    <w:p w14:paraId="67AC1D4C" w14:textId="1E6DB510" w:rsidR="000566F1" w:rsidRPr="00F66E71" w:rsidRDefault="000566F1" w:rsidP="0061085F">
      <w:pPr>
        <w:ind w:firstLine="270"/>
      </w:pPr>
      <w:r w:rsidRPr="00F66E71">
        <w:rPr>
          <w:bCs/>
        </w:rPr>
        <w:t>IM</w:t>
      </w:r>
      <w:r w:rsidRPr="00F66E71">
        <w:t>: Intellinmine</w:t>
      </w:r>
    </w:p>
    <w:p w14:paraId="71C7F137" w14:textId="33769EDB" w:rsidR="00DD1AFE" w:rsidRPr="00F66E71" w:rsidRDefault="00DD1AFE" w:rsidP="0061085F">
      <w:pPr>
        <w:ind w:firstLine="270"/>
      </w:pPr>
      <w:r w:rsidRPr="00F66E71">
        <w:rPr>
          <w:bCs/>
        </w:rPr>
        <w:t>PSN</w:t>
      </w:r>
      <w:r w:rsidRPr="00F66E71">
        <w:t>: Silicon Nitride</w:t>
      </w:r>
    </w:p>
    <w:sectPr w:rsidR="00DD1AFE" w:rsidRPr="00F66E71" w:rsidSect="00A400FB">
      <w:type w:val="continuous"/>
      <w:pgSz w:w="12240" w:h="15840" w:code="1"/>
      <w:pgMar w:top="1350" w:right="1008" w:bottom="1440" w:left="1008" w:header="720" w:footer="720" w:gutter="0"/>
      <w:paperSrc w:first="1" w:other="1"/>
      <w:cols w:num="2"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FDF03" w14:textId="77777777" w:rsidR="00956543" w:rsidRDefault="00956543" w:rsidP="00F66E71">
      <w:r>
        <w:separator/>
      </w:r>
    </w:p>
  </w:endnote>
  <w:endnote w:type="continuationSeparator" w:id="0">
    <w:p w14:paraId="245193A9" w14:textId="77777777" w:rsidR="00956543" w:rsidRDefault="00956543" w:rsidP="00F6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A8E89" w14:textId="77777777" w:rsidR="00F66E71" w:rsidRDefault="00F66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671E3" w14:textId="77777777" w:rsidR="00F66E71" w:rsidRDefault="00F66E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B3C04" w14:textId="77777777" w:rsidR="00F66E71" w:rsidRDefault="00F66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8063A" w14:textId="77777777" w:rsidR="00956543" w:rsidRDefault="00956543" w:rsidP="00F66E71">
      <w:r>
        <w:separator/>
      </w:r>
    </w:p>
  </w:footnote>
  <w:footnote w:type="continuationSeparator" w:id="0">
    <w:p w14:paraId="674A65F7" w14:textId="77777777" w:rsidR="00956543" w:rsidRDefault="00956543" w:rsidP="00F66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116D4" w14:textId="77777777" w:rsidR="00F66E71" w:rsidRDefault="00F66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45CAE" w14:textId="77777777" w:rsidR="00F66E71" w:rsidRDefault="00F66E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BE62F" w14:textId="77777777" w:rsidR="00F66E71" w:rsidRDefault="00F66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6E6D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B3004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9A6E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C7A07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B463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5C5E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2C92B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3CED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9CB6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0899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5A3DCD"/>
    <w:multiLevelType w:val="hybridMultilevel"/>
    <w:tmpl w:val="F12264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2E44DA"/>
    <w:multiLevelType w:val="hybridMultilevel"/>
    <w:tmpl w:val="26701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882F1A"/>
    <w:multiLevelType w:val="hybridMultilevel"/>
    <w:tmpl w:val="1E0C23B8"/>
    <w:lvl w:ilvl="0" w:tplc="D952A93E">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3" w15:restartNumberingAfterBreak="0">
    <w:nsid w:val="40E9727E"/>
    <w:multiLevelType w:val="hybridMultilevel"/>
    <w:tmpl w:val="1C5EB2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C40260"/>
    <w:multiLevelType w:val="hybridMultilevel"/>
    <w:tmpl w:val="F23A331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794E74"/>
    <w:multiLevelType w:val="hybridMultilevel"/>
    <w:tmpl w:val="0E60E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77457"/>
    <w:multiLevelType w:val="hybridMultilevel"/>
    <w:tmpl w:val="2856E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F784D"/>
    <w:multiLevelType w:val="hybridMultilevel"/>
    <w:tmpl w:val="C2C23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EC6AAA"/>
    <w:multiLevelType w:val="hybridMultilevel"/>
    <w:tmpl w:val="6E0EAB8E"/>
    <w:lvl w:ilvl="0" w:tplc="CEE236BA">
      <w:start w:val="3"/>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9" w15:restartNumberingAfterBreak="0">
    <w:nsid w:val="57D421A9"/>
    <w:multiLevelType w:val="hybridMultilevel"/>
    <w:tmpl w:val="25E072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E4333C"/>
    <w:multiLevelType w:val="hybridMultilevel"/>
    <w:tmpl w:val="87E499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352D3E"/>
    <w:multiLevelType w:val="hybridMultilevel"/>
    <w:tmpl w:val="5134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6"/>
  </w:num>
  <w:num w:numId="13">
    <w:abstractNumId w:val="14"/>
  </w:num>
  <w:num w:numId="14">
    <w:abstractNumId w:val="15"/>
  </w:num>
  <w:num w:numId="15">
    <w:abstractNumId w:val="19"/>
  </w:num>
  <w:num w:numId="16">
    <w:abstractNumId w:val="17"/>
  </w:num>
  <w:num w:numId="17">
    <w:abstractNumId w:val="20"/>
  </w:num>
  <w:num w:numId="18">
    <w:abstractNumId w:val="11"/>
  </w:num>
  <w:num w:numId="19">
    <w:abstractNumId w:val="10"/>
  </w:num>
  <w:num w:numId="20">
    <w:abstractNumId w:val="21"/>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783"/>
    <w:rsid w:val="0003400E"/>
    <w:rsid w:val="00034590"/>
    <w:rsid w:val="00040FE3"/>
    <w:rsid w:val="00044C57"/>
    <w:rsid w:val="00054C87"/>
    <w:rsid w:val="000566F1"/>
    <w:rsid w:val="00066FE3"/>
    <w:rsid w:val="00095F68"/>
    <w:rsid w:val="000E40B8"/>
    <w:rsid w:val="000F64CC"/>
    <w:rsid w:val="00112106"/>
    <w:rsid w:val="0012494C"/>
    <w:rsid w:val="00131040"/>
    <w:rsid w:val="001637D2"/>
    <w:rsid w:val="00174C95"/>
    <w:rsid w:val="00182A3F"/>
    <w:rsid w:val="001A28E9"/>
    <w:rsid w:val="001B5C31"/>
    <w:rsid w:val="001D2A35"/>
    <w:rsid w:val="00222EB5"/>
    <w:rsid w:val="0023296F"/>
    <w:rsid w:val="002344DF"/>
    <w:rsid w:val="0026365E"/>
    <w:rsid w:val="002844B8"/>
    <w:rsid w:val="0028619B"/>
    <w:rsid w:val="002D1713"/>
    <w:rsid w:val="002E7821"/>
    <w:rsid w:val="002F265A"/>
    <w:rsid w:val="003165AF"/>
    <w:rsid w:val="00346534"/>
    <w:rsid w:val="0037588B"/>
    <w:rsid w:val="003A2692"/>
    <w:rsid w:val="003E5FE7"/>
    <w:rsid w:val="00410310"/>
    <w:rsid w:val="00435515"/>
    <w:rsid w:val="004362A5"/>
    <w:rsid w:val="004724D6"/>
    <w:rsid w:val="004821E6"/>
    <w:rsid w:val="00496310"/>
    <w:rsid w:val="00496C8D"/>
    <w:rsid w:val="004E2249"/>
    <w:rsid w:val="00503957"/>
    <w:rsid w:val="00507E06"/>
    <w:rsid w:val="00567054"/>
    <w:rsid w:val="00575BCE"/>
    <w:rsid w:val="00576D07"/>
    <w:rsid w:val="005B59A8"/>
    <w:rsid w:val="005B715A"/>
    <w:rsid w:val="005D1665"/>
    <w:rsid w:val="00601F3A"/>
    <w:rsid w:val="0061085F"/>
    <w:rsid w:val="006172F3"/>
    <w:rsid w:val="006409A0"/>
    <w:rsid w:val="006E7A32"/>
    <w:rsid w:val="00707163"/>
    <w:rsid w:val="00732C6E"/>
    <w:rsid w:val="007621FF"/>
    <w:rsid w:val="00783B0C"/>
    <w:rsid w:val="00797324"/>
    <w:rsid w:val="007A21F4"/>
    <w:rsid w:val="007C65A5"/>
    <w:rsid w:val="007D1CB1"/>
    <w:rsid w:val="007E2A8C"/>
    <w:rsid w:val="007E738A"/>
    <w:rsid w:val="007F5209"/>
    <w:rsid w:val="0080372B"/>
    <w:rsid w:val="008057B5"/>
    <w:rsid w:val="00806407"/>
    <w:rsid w:val="008179AF"/>
    <w:rsid w:val="00822096"/>
    <w:rsid w:val="0082462F"/>
    <w:rsid w:val="008307B4"/>
    <w:rsid w:val="0084790A"/>
    <w:rsid w:val="00862D4D"/>
    <w:rsid w:val="00880CAA"/>
    <w:rsid w:val="008A1A97"/>
    <w:rsid w:val="008A2E7D"/>
    <w:rsid w:val="008A39DD"/>
    <w:rsid w:val="008A5A16"/>
    <w:rsid w:val="008D1DE8"/>
    <w:rsid w:val="008F1DB0"/>
    <w:rsid w:val="008F3F03"/>
    <w:rsid w:val="00904299"/>
    <w:rsid w:val="009052F2"/>
    <w:rsid w:val="0091321A"/>
    <w:rsid w:val="00956543"/>
    <w:rsid w:val="00964A5C"/>
    <w:rsid w:val="00964FAD"/>
    <w:rsid w:val="009A01B0"/>
    <w:rsid w:val="009C3C1A"/>
    <w:rsid w:val="009E039D"/>
    <w:rsid w:val="009E63BE"/>
    <w:rsid w:val="009F26E3"/>
    <w:rsid w:val="009F5AB6"/>
    <w:rsid w:val="00A31074"/>
    <w:rsid w:val="00A400FB"/>
    <w:rsid w:val="00A41DA8"/>
    <w:rsid w:val="00A632FB"/>
    <w:rsid w:val="00AA5F15"/>
    <w:rsid w:val="00B0378A"/>
    <w:rsid w:val="00B12865"/>
    <w:rsid w:val="00B27A20"/>
    <w:rsid w:val="00B336A4"/>
    <w:rsid w:val="00B355D5"/>
    <w:rsid w:val="00B4278F"/>
    <w:rsid w:val="00B839CA"/>
    <w:rsid w:val="00B84210"/>
    <w:rsid w:val="00B943CC"/>
    <w:rsid w:val="00BA26A3"/>
    <w:rsid w:val="00BB324C"/>
    <w:rsid w:val="00BE4C7C"/>
    <w:rsid w:val="00C10F2F"/>
    <w:rsid w:val="00C55C41"/>
    <w:rsid w:val="00C62BEA"/>
    <w:rsid w:val="00C7230B"/>
    <w:rsid w:val="00C76BA0"/>
    <w:rsid w:val="00C9272A"/>
    <w:rsid w:val="00C965EE"/>
    <w:rsid w:val="00CC72AF"/>
    <w:rsid w:val="00CE02C7"/>
    <w:rsid w:val="00CF2930"/>
    <w:rsid w:val="00D20E04"/>
    <w:rsid w:val="00D76E0C"/>
    <w:rsid w:val="00D77F7A"/>
    <w:rsid w:val="00D9106E"/>
    <w:rsid w:val="00D94006"/>
    <w:rsid w:val="00DA0432"/>
    <w:rsid w:val="00DC1A36"/>
    <w:rsid w:val="00DC4F5D"/>
    <w:rsid w:val="00DD1AFE"/>
    <w:rsid w:val="00DD360C"/>
    <w:rsid w:val="00DD4E9C"/>
    <w:rsid w:val="00DF280E"/>
    <w:rsid w:val="00E205BE"/>
    <w:rsid w:val="00E52A38"/>
    <w:rsid w:val="00E67598"/>
    <w:rsid w:val="00E72EBA"/>
    <w:rsid w:val="00E90D0C"/>
    <w:rsid w:val="00E93215"/>
    <w:rsid w:val="00EB71DE"/>
    <w:rsid w:val="00EE00A4"/>
    <w:rsid w:val="00EE5654"/>
    <w:rsid w:val="00F00E8F"/>
    <w:rsid w:val="00F0202E"/>
    <w:rsid w:val="00F05EBE"/>
    <w:rsid w:val="00F06783"/>
    <w:rsid w:val="00F22430"/>
    <w:rsid w:val="00F52BFF"/>
    <w:rsid w:val="00F6488C"/>
    <w:rsid w:val="00F66E71"/>
    <w:rsid w:val="00F74019"/>
    <w:rsid w:val="00F80494"/>
    <w:rsid w:val="00FB1A00"/>
    <w:rsid w:val="00FB407F"/>
    <w:rsid w:val="00FC31A6"/>
    <w:rsid w:val="00FE0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177B3F"/>
  <w15:docId w15:val="{1AACE912-748D-4641-A23D-35DA737B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mallCaps/>
    </w:rPr>
  </w:style>
  <w:style w:type="paragraph" w:styleId="Heading3">
    <w:name w:val="heading 3"/>
    <w:basedOn w:val="Normal"/>
    <w:next w:val="Normal"/>
    <w:qFormat/>
    <w:pPr>
      <w:keepNext/>
      <w:jc w:val="both"/>
      <w:outlineLvl w:val="2"/>
    </w:pPr>
    <w:rPr>
      <w:i/>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paragraph" w:styleId="BodyText2">
    <w:name w:val="Body Text 2"/>
    <w:basedOn w:val="Normal"/>
    <w:pPr>
      <w:jc w:val="both"/>
    </w:pPr>
  </w:style>
  <w:style w:type="paragraph" w:styleId="Title">
    <w:name w:val="Title"/>
    <w:basedOn w:val="Normal"/>
    <w:qFormat/>
    <w:pPr>
      <w:jc w:val="center"/>
    </w:pPr>
    <w:rPr>
      <w:b/>
      <w:sz w:val="24"/>
    </w:rPr>
  </w:style>
  <w:style w:type="paragraph" w:styleId="Subtitle">
    <w:name w:val="Subtitle"/>
    <w:basedOn w:val="Normal"/>
    <w:qFormat/>
    <w:pPr>
      <w:jc w:val="center"/>
    </w:pPr>
    <w:rPr>
      <w:b/>
      <w:sz w:val="24"/>
    </w:rPr>
  </w:style>
  <w:style w:type="paragraph" w:styleId="BodyText3">
    <w:name w:val="Body Text 3"/>
    <w:basedOn w:val="Normal"/>
    <w:rPr>
      <w:sz w:val="24"/>
    </w:rPr>
  </w:style>
  <w:style w:type="paragraph" w:customStyle="1" w:styleId="Blockquote">
    <w:name w:val="Blockquote"/>
    <w:basedOn w:val="Normal"/>
    <w:pPr>
      <w:spacing w:before="100" w:after="100"/>
      <w:ind w:left="360" w:right="360"/>
    </w:pPr>
    <w:rPr>
      <w:snapToGrid w:val="0"/>
      <w:sz w:val="24"/>
    </w:rPr>
  </w:style>
  <w:style w:type="character" w:styleId="Hyperlink">
    <w:name w:val="Hyperlink"/>
    <w:basedOn w:val="DefaultParagraphFont"/>
    <w:rPr>
      <w:color w:val="0000FF"/>
      <w:u w:val="single"/>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b w:val="0"/>
      <w:sz w:val="2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3A2692"/>
    <w:rPr>
      <w:rFonts w:ascii="Tahoma" w:hAnsi="Tahoma" w:cs="Tahoma"/>
      <w:sz w:val="16"/>
      <w:szCs w:val="16"/>
    </w:rPr>
  </w:style>
  <w:style w:type="character" w:customStyle="1" w:styleId="BalloonTextChar">
    <w:name w:val="Balloon Text Char"/>
    <w:basedOn w:val="DefaultParagraphFont"/>
    <w:link w:val="BalloonText"/>
    <w:rsid w:val="003A2692"/>
    <w:rPr>
      <w:rFonts w:ascii="Tahoma" w:hAnsi="Tahoma" w:cs="Tahoma"/>
      <w:sz w:val="16"/>
      <w:szCs w:val="16"/>
    </w:rPr>
  </w:style>
  <w:style w:type="paragraph" w:styleId="ListParagraph">
    <w:name w:val="List Paragraph"/>
    <w:basedOn w:val="Normal"/>
    <w:uiPriority w:val="34"/>
    <w:qFormat/>
    <w:rsid w:val="00CC72AF"/>
    <w:pPr>
      <w:ind w:left="720"/>
      <w:contextualSpacing/>
    </w:pPr>
  </w:style>
  <w:style w:type="character" w:styleId="UnresolvedMention">
    <w:name w:val="Unresolved Mention"/>
    <w:basedOn w:val="DefaultParagraphFont"/>
    <w:uiPriority w:val="99"/>
    <w:semiHidden/>
    <w:unhideWhenUsed/>
    <w:rsid w:val="006E7A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58711">
      <w:bodyDiv w:val="1"/>
      <w:marLeft w:val="0"/>
      <w:marRight w:val="0"/>
      <w:marTop w:val="0"/>
      <w:marBottom w:val="0"/>
      <w:divBdr>
        <w:top w:val="none" w:sz="0" w:space="0" w:color="auto"/>
        <w:left w:val="none" w:sz="0" w:space="0" w:color="auto"/>
        <w:bottom w:val="none" w:sz="0" w:space="0" w:color="auto"/>
        <w:right w:val="none" w:sz="0" w:space="0" w:color="auto"/>
      </w:divBdr>
    </w:div>
    <w:div w:id="325860452">
      <w:bodyDiv w:val="1"/>
      <w:marLeft w:val="0"/>
      <w:marRight w:val="0"/>
      <w:marTop w:val="0"/>
      <w:marBottom w:val="0"/>
      <w:divBdr>
        <w:top w:val="none" w:sz="0" w:space="0" w:color="auto"/>
        <w:left w:val="none" w:sz="0" w:space="0" w:color="auto"/>
        <w:bottom w:val="none" w:sz="0" w:space="0" w:color="auto"/>
        <w:right w:val="none" w:sz="0" w:space="0" w:color="auto"/>
      </w:divBdr>
    </w:div>
    <w:div w:id="695736776">
      <w:bodyDiv w:val="1"/>
      <w:marLeft w:val="0"/>
      <w:marRight w:val="0"/>
      <w:marTop w:val="0"/>
      <w:marBottom w:val="0"/>
      <w:divBdr>
        <w:top w:val="none" w:sz="0" w:space="0" w:color="auto"/>
        <w:left w:val="none" w:sz="0" w:space="0" w:color="auto"/>
        <w:bottom w:val="none" w:sz="0" w:space="0" w:color="auto"/>
        <w:right w:val="none" w:sz="0" w:space="0" w:color="auto"/>
      </w:divBdr>
      <w:divsChild>
        <w:div w:id="903177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iping.Wang@Qorvo.com" TargetMode="Externa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w.bistel.com/solutions/analyze/edatalyz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kkgan@bistel.com"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9D11D4-1EEA-7F4F-B0A2-60B00E0C9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Paper Formating Guidelines</vt:lpstr>
    </vt:vector>
  </TitlesOfParts>
  <Company>GaAsTek</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Formating Guidelines</dc:title>
  <dc:creator>Monte Drinkwine</dc:creator>
  <cp:lastModifiedBy>Mario Faria</cp:lastModifiedBy>
  <cp:revision>2</cp:revision>
  <cp:lastPrinted>2019-11-19T18:38:00Z</cp:lastPrinted>
  <dcterms:created xsi:type="dcterms:W3CDTF">2020-03-03T14:03:00Z</dcterms:created>
  <dcterms:modified xsi:type="dcterms:W3CDTF">2020-03-03T14:03:00Z</dcterms:modified>
</cp:coreProperties>
</file>